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广船国际有限公司招聘简介</w:t>
      </w:r>
    </w:p>
    <w:p>
      <w:pPr>
        <w:ind w:firstLine="140" w:firstLineChars="67"/>
      </w:pPr>
    </w:p>
    <w:p>
      <w:pPr>
        <w:spacing w:line="300" w:lineRule="exact"/>
        <w:ind w:firstLine="424" w:firstLineChars="202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广船国际有限公司是中国船舶工业集团</w:t>
      </w:r>
      <w:r>
        <w:rPr>
          <w:rFonts w:hint="eastAsia" w:ascii="Calibri" w:hAnsi="Calibri" w:eastAsia="宋体" w:cs="Times New Roman"/>
          <w:lang w:val="en-US" w:eastAsia="zh-CN"/>
        </w:rPr>
        <w:t>有限</w:t>
      </w:r>
      <w:r>
        <w:rPr>
          <w:rFonts w:hint="eastAsia" w:ascii="Calibri" w:hAnsi="Calibri" w:eastAsia="宋体" w:cs="Times New Roman"/>
        </w:rPr>
        <w:t>公司属下的现代化造船企业，拥有国家级企业技术中心，享有自营进出口权，是华南地区最大最强的军辅船生产和保障基地，可以设计符合世界各主要船级社规范要求的40万载重吨以下的各类船舶。</w:t>
      </w:r>
    </w:p>
    <w:p>
      <w:pPr>
        <w:spacing w:line="300" w:lineRule="exact"/>
        <w:ind w:firstLine="424" w:firstLineChars="202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公司拥有南沙、中山两大厂区，现有从业人员</w:t>
      </w:r>
      <w:r>
        <w:rPr>
          <w:rFonts w:hint="eastAsia"/>
        </w:rPr>
        <w:t>1</w:t>
      </w:r>
      <w:r>
        <w:rPr>
          <w:rFonts w:hint="eastAsia" w:ascii="Calibri" w:hAnsi="Calibri" w:eastAsia="宋体" w:cs="Times New Roman"/>
        </w:rPr>
        <w:t>6000余人，南沙厂区具有年造船350万载重吨的能力，中山厂区致力于分段制造及非船业务的发展。公司在MR、AFRA、VLCC、VLOC型船舶，以及半潜船、客滚船、极地运输船等高技术、高附加值船舶和军辅船、特种船等船型方面掌握核心技术。</w:t>
      </w:r>
    </w:p>
    <w:p>
      <w:pPr>
        <w:spacing w:line="300" w:lineRule="exact"/>
        <w:ind w:firstLine="424" w:firstLineChars="202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公司以造船（民船及特种辅船）为核心业务，其中MR游轮、客滚船、半潜船、极地运输船、大型矿砂船等船舶已成为公司品牌产品。非船业务也取得长足发展，具有国家一级钢结构建造资格，钢结构、盾结构、盾构床、剪压床、电梯、矿山港口机械、环保工程等名誉海外。“技术领先、服务卓越”，优质的产品和服务公司赢得了广阔的市场。</w:t>
      </w:r>
    </w:p>
    <w:p>
      <w:pPr>
        <w:spacing w:line="300" w:lineRule="exact"/>
        <w:ind w:firstLine="424" w:firstLineChars="202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公司造船主要客户涵盖瑞典、丹麦、新加坡、澳大利亚、荷兰等外国客户以及国内中远集团，主要产品为5万吨化学品/成品游轮，25万吨VLOC，30万吨VLCC，极地运输船以及9万吨半潜船等。“诚信为本、合作共赢”，良好的信誉受到了客户的广泛好评。</w:t>
      </w:r>
    </w:p>
    <w:p>
      <w:pPr>
        <w:spacing w:line="300" w:lineRule="exact"/>
        <w:ind w:firstLine="424" w:firstLineChars="202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公司本着“因才施用，唯才是举”的用人理念，致力于构建网状的职业发展通道及完善的培训体系。根据员工特点建立长期的岗位匹配机制和定期培养方案，倡导员工个性化培养和职业规划，形成了员工与企业共同发展的良好局面：</w:t>
      </w:r>
    </w:p>
    <w:p>
      <w:pPr>
        <w:spacing w:line="300" w:lineRule="exact"/>
        <w:ind w:firstLine="424" w:firstLineChars="202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雄厚的企业实力助你打造成功之匙；</w:t>
      </w:r>
    </w:p>
    <w:p>
      <w:pPr>
        <w:spacing w:line="300" w:lineRule="exact"/>
        <w:ind w:firstLine="424" w:firstLineChars="202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美丽的南沙自贸区让你生活绚丽多彩；</w:t>
      </w:r>
    </w:p>
    <w:p>
      <w:pPr>
        <w:spacing w:line="300" w:lineRule="exact"/>
        <w:ind w:firstLine="424" w:firstLineChars="202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完善的职业发展通道携你前程如虎添翼！</w:t>
      </w:r>
    </w:p>
    <w:p>
      <w:pPr>
        <w:ind w:firstLine="424" w:firstLineChars="202"/>
        <w:rPr>
          <w:rFonts w:hint="eastAsia"/>
        </w:rPr>
      </w:pPr>
    </w:p>
    <w:p>
      <w:pPr>
        <w:ind w:firstLine="424" w:firstLineChars="202"/>
        <w:rPr>
          <w:rFonts w:hint="eastAsia"/>
        </w:rPr>
      </w:pPr>
    </w:p>
    <w:p>
      <w:pPr>
        <w:ind w:firstLine="424" w:firstLineChars="202"/>
        <w:rPr>
          <w:rFonts w:hint="eastAsia"/>
        </w:rPr>
      </w:pPr>
      <w:r>
        <w:rPr>
          <w:rFonts w:hint="eastAsia"/>
        </w:rPr>
        <w:t>需求专业：</w:t>
      </w:r>
    </w:p>
    <w:tbl>
      <w:tblPr>
        <w:tblStyle w:val="6"/>
        <w:tblW w:w="9215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850"/>
        <w:gridCol w:w="1418"/>
        <w:gridCol w:w="283"/>
        <w:gridCol w:w="1701"/>
        <w:gridCol w:w="851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850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418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要求</w:t>
            </w:r>
          </w:p>
        </w:tc>
        <w:tc>
          <w:tcPr>
            <w:tcW w:w="283" w:type="dxa"/>
            <w:vMerge w:val="restart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851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</w:pPr>
            <w:r>
              <w:rPr>
                <w:rFonts w:hint="eastAsia"/>
              </w:rPr>
              <w:t>船舶与海洋工程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/>
              </w:rPr>
              <w:t>本/硕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/>
              </w:rPr>
              <w:t>CET4及以上</w:t>
            </w:r>
          </w:p>
        </w:tc>
        <w:tc>
          <w:tcPr>
            <w:tcW w:w="283" w:type="dxa"/>
            <w:vMerge w:val="continue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</w:rPr>
              <w:t>法学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rPr>
                <w:rFonts w:hint="eastAsia"/>
              </w:rPr>
              <w:t>本/硕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/>
              </w:rPr>
              <w:t>CET-6及以上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</w:pPr>
            <w:r>
              <w:rPr>
                <w:rFonts w:hint="eastAsia"/>
              </w:rPr>
              <w:t>轮机工程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/>
              </w:rPr>
              <w:t>本/硕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/>
              </w:rPr>
              <w:t>CET4及以上</w:t>
            </w:r>
          </w:p>
        </w:tc>
        <w:tc>
          <w:tcPr>
            <w:tcW w:w="283" w:type="dxa"/>
            <w:vMerge w:val="continue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rPr>
                <w:rFonts w:hint="eastAsia"/>
              </w:rPr>
              <w:t>本/硕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/>
              </w:rPr>
              <w:t>CET4及以上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</w:pPr>
            <w:r>
              <w:rPr>
                <w:rFonts w:hint="eastAsia"/>
              </w:rPr>
              <w:t>电气工程及其自动化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/>
              </w:rPr>
              <w:t>本/硕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/>
              </w:rPr>
              <w:t>CET4及以上</w:t>
            </w:r>
          </w:p>
        </w:tc>
        <w:tc>
          <w:tcPr>
            <w:tcW w:w="283" w:type="dxa"/>
            <w:vMerge w:val="continue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</w:rPr>
              <w:t>焊接及金属材料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rPr>
                <w:rFonts w:hint="eastAsia"/>
              </w:rPr>
              <w:t>本/硕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/>
              </w:rPr>
              <w:t>CET4及以上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</w:pPr>
            <w:r>
              <w:rPr>
                <w:rFonts w:hint="eastAsia"/>
              </w:rPr>
              <w:t>机械设计制造及其自动化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/>
              </w:rPr>
              <w:t>本/硕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/>
              </w:rPr>
              <w:t>CET4及以上</w:t>
            </w:r>
          </w:p>
        </w:tc>
        <w:tc>
          <w:tcPr>
            <w:tcW w:w="283" w:type="dxa"/>
            <w:vMerge w:val="continue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</w:rPr>
              <w:t>思想政治教育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rPr>
                <w:rFonts w:hint="eastAsia"/>
              </w:rPr>
              <w:t>本/硕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/>
              </w:rPr>
              <w:t>CET4及以上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</w:pPr>
            <w:r>
              <w:rPr>
                <w:rFonts w:hint="eastAsia"/>
              </w:rPr>
              <w:t>计算机类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/>
              </w:rPr>
              <w:t>本/硕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/>
              </w:rPr>
              <w:t>CET4及以上</w:t>
            </w:r>
          </w:p>
        </w:tc>
        <w:tc>
          <w:tcPr>
            <w:tcW w:w="283" w:type="dxa"/>
            <w:vMerge w:val="continue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</w:rPr>
              <w:t>档案管理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rPr>
                <w:rFonts w:hint="eastAsia"/>
              </w:rPr>
              <w:t>本/硕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/>
              </w:rPr>
              <w:t>CET4及以上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</w:pPr>
            <w:r>
              <w:rPr>
                <w:rFonts w:hint="eastAsia"/>
              </w:rPr>
              <w:t>会计/财务管理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/>
              </w:rPr>
              <w:t>本/硕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/>
              </w:rPr>
              <w:t>CET4及以上</w:t>
            </w:r>
          </w:p>
        </w:tc>
        <w:tc>
          <w:tcPr>
            <w:tcW w:w="283" w:type="dxa"/>
            <w:vMerge w:val="continue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</w:rPr>
              <w:t>复合材料结构学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rPr>
                <w:rFonts w:hint="eastAsia"/>
              </w:rPr>
              <w:t>本/硕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/>
              </w:rPr>
              <w:t>CET4及以上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</w:pPr>
            <w:r>
              <w:rPr>
                <w:rFonts w:hint="eastAsia"/>
              </w:rPr>
              <w:t>环境工程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/>
              </w:rPr>
              <w:t>本/硕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/>
              </w:rPr>
              <w:t>CET-6及以上</w:t>
            </w:r>
          </w:p>
        </w:tc>
        <w:tc>
          <w:tcPr>
            <w:tcW w:w="283" w:type="dxa"/>
            <w:vMerge w:val="continue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</w:rPr>
              <w:t>工业与民用建筑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rPr>
                <w:rFonts w:hint="eastAsia"/>
              </w:rPr>
              <w:t>本/硕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/>
              </w:rPr>
              <w:t>CET4及以上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</w:pPr>
            <w:r>
              <w:rPr>
                <w:rFonts w:hint="eastAsia"/>
              </w:rPr>
              <w:t>武备（控制方向）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/>
              </w:rPr>
              <w:t>本/硕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/>
              </w:rPr>
              <w:t>CET4及以上</w:t>
            </w:r>
          </w:p>
        </w:tc>
        <w:tc>
          <w:tcPr>
            <w:tcW w:w="283" w:type="dxa"/>
            <w:vMerge w:val="continue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</w:rPr>
              <w:t>国际贸易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rPr>
                <w:rFonts w:hint="eastAsia"/>
              </w:rPr>
              <w:t>本/硕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/>
              </w:rPr>
              <w:t>CET-6及以上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</w:pPr>
            <w:r>
              <w:rPr>
                <w:rFonts w:hint="eastAsia"/>
              </w:rPr>
              <w:t>企业管理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/>
              </w:rPr>
              <w:t>硕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/>
              </w:rPr>
              <w:t>CET-6及以上</w:t>
            </w:r>
          </w:p>
        </w:tc>
        <w:tc>
          <w:tcPr>
            <w:tcW w:w="283" w:type="dxa"/>
            <w:vMerge w:val="continue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</w:rPr>
              <w:t>物流管理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rPr>
                <w:rFonts w:hint="eastAsia"/>
              </w:rPr>
              <w:t>本/硕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/>
              </w:rPr>
              <w:t>CET4及以上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</w:pPr>
            <w:r>
              <w:rPr>
                <w:rFonts w:hint="eastAsia"/>
              </w:rPr>
              <w:t>机电一体化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/>
              </w:rPr>
              <w:t>本/硕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/>
              </w:rPr>
              <w:t>CET4及以上</w:t>
            </w:r>
          </w:p>
        </w:tc>
        <w:tc>
          <w:tcPr>
            <w:tcW w:w="283" w:type="dxa"/>
            <w:vMerge w:val="continue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</w:rPr>
              <w:t>土木工程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rPr>
                <w:rFonts w:hint="eastAsia"/>
              </w:rPr>
              <w:t>本/硕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/>
              </w:rPr>
              <w:t>CET4及以上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</w:pPr>
            <w:r>
              <w:rPr>
                <w:rFonts w:hint="eastAsia"/>
              </w:rPr>
              <w:t>环境工程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/>
              </w:rPr>
              <w:t>本/硕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/>
              </w:rPr>
              <w:t>CET4及以上</w:t>
            </w:r>
          </w:p>
        </w:tc>
        <w:tc>
          <w:tcPr>
            <w:tcW w:w="283" w:type="dxa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法学</w:t>
            </w:r>
          </w:p>
        </w:tc>
        <w:tc>
          <w:tcPr>
            <w:tcW w:w="851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本/硕</w:t>
            </w:r>
          </w:p>
        </w:tc>
        <w:tc>
          <w:tcPr>
            <w:tcW w:w="1559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CET4及以上</w:t>
            </w:r>
          </w:p>
        </w:tc>
      </w:tr>
    </w:tbl>
    <w:p>
      <w:pPr>
        <w:ind w:firstLine="424"/>
        <w:rPr>
          <w:rFonts w:hint="eastAsia"/>
        </w:rPr>
      </w:pPr>
    </w:p>
    <w:p>
      <w:pPr>
        <w:ind w:firstLine="424"/>
      </w:pPr>
      <w:r>
        <w:rPr>
          <w:rFonts w:hint="eastAsia"/>
        </w:rPr>
        <w:t>福利待遇</w:t>
      </w:r>
    </w:p>
    <w:p>
      <w:pPr>
        <w:ind w:firstLine="424"/>
      </w:pPr>
      <w:r>
        <w:rPr>
          <w:rFonts w:hint="eastAsia"/>
        </w:rPr>
        <w:t>1、见习期：本科生半年，研究生三个月；</w:t>
      </w:r>
      <w:bookmarkStart w:id="0" w:name="_GoBack"/>
      <w:bookmarkEnd w:id="0"/>
    </w:p>
    <w:p>
      <w:pPr>
        <w:ind w:left="735" w:leftChars="200" w:hanging="315" w:hangingChars="150"/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、五险一金，上五休二，每天7.5小时工作时间，上下班班车接送，提供住宿，饮食补贴，住房补贴，名校补贴等。</w:t>
      </w:r>
    </w:p>
    <w:p>
      <w:pPr>
        <w:ind w:firstLine="424" w:firstLineChars="202"/>
        <w:rPr>
          <w:rFonts w:hint="eastAsia"/>
        </w:rPr>
      </w:pPr>
    </w:p>
    <w:p>
      <w:pPr>
        <w:ind w:firstLine="424" w:firstLineChars="202"/>
        <w:rPr>
          <w:rFonts w:hint="eastAsia"/>
          <w:lang w:eastAsia="zh-CN"/>
        </w:rPr>
      </w:pPr>
    </w:p>
    <w:p>
      <w:pPr>
        <w:ind w:firstLine="424" w:firstLineChars="202"/>
        <w:rPr>
          <w:rFonts w:hint="eastAsia"/>
          <w:lang w:val="en-US" w:eastAsia="zh-CN"/>
        </w:rPr>
      </w:pPr>
      <w:r>
        <w:rPr>
          <w:rFonts w:hint="eastAsia"/>
        </w:rPr>
        <w:t>联系人：</w:t>
      </w:r>
      <w:r>
        <w:rPr>
          <w:rFonts w:hint="eastAsia"/>
          <w:lang w:val="en-US" w:eastAsia="zh-CN"/>
        </w:rPr>
        <w:t>胡强 13622827216</w:t>
      </w:r>
    </w:p>
    <w:p>
      <w:pPr>
        <w:ind w:firstLine="424" w:firstLineChars="202"/>
      </w:pPr>
      <w:r>
        <w:rPr>
          <w:rFonts w:hint="eastAsia"/>
        </w:rPr>
        <w:t>联系邮箱：guangchuanzhaopin@126.com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ACE"/>
    <w:rsid w:val="00996ACE"/>
    <w:rsid w:val="00A00EE3"/>
    <w:rsid w:val="23FC4BC6"/>
    <w:rsid w:val="2AF57738"/>
    <w:rsid w:val="3A642BA7"/>
    <w:rsid w:val="51A75113"/>
    <w:rsid w:val="6D412D7D"/>
    <w:rsid w:val="79D1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gsi</Company>
  <Pages>2</Pages>
  <Words>196</Words>
  <Characters>1120</Characters>
  <Lines>9</Lines>
  <Paragraphs>2</Paragraphs>
  <TotalTime>1</TotalTime>
  <ScaleCrop>false</ScaleCrop>
  <LinksUpToDate>false</LinksUpToDate>
  <CharactersWithSpaces>1314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2018-09-03T07:56:00Z</dcterms:created>
  <dc:creator>胡强</dc:creator>
  <cp:lastModifiedBy>Administrator</cp:lastModifiedBy>
  <dcterms:modified xsi:type="dcterms:W3CDTF">2018-09-19T07:41:22Z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