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r>
        <w:rPr>
          <w:rFonts w:hint="eastAsia" w:ascii="仿宋_GB2312" w:hAnsi="仿宋" w:eastAsia="仿宋_GB2312"/>
          <w:b/>
          <w:spacing w:val="-20"/>
          <w:sz w:val="36"/>
          <w:szCs w:val="36"/>
          <w:lang w:val="en-US" w:eastAsia="zh-CN"/>
        </w:rPr>
        <w:t>神木实验学校教师</w:t>
      </w:r>
      <w:r>
        <w:rPr>
          <w:rFonts w:hint="eastAsia" w:ascii="仿宋_GB2312" w:hAnsi="仿宋" w:eastAsia="仿宋_GB2312"/>
          <w:b/>
          <w:spacing w:val="-20"/>
          <w:sz w:val="36"/>
          <w:szCs w:val="36"/>
        </w:rPr>
        <w:t>招聘启事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ascii="仿宋" w:hAnsi="仿宋" w:eastAsia="仿宋" w:cs="仿宋"/>
          <w:b/>
          <w:bCs/>
          <w:sz w:val="24"/>
        </w:rPr>
      </w:pPr>
      <w:bookmarkStart w:id="0" w:name="_GoBack"/>
      <w:r>
        <w:rPr>
          <w:rFonts w:hint="eastAsia" w:ascii="仿宋" w:hAnsi="仿宋" w:eastAsia="仿宋" w:cs="仿宋"/>
          <w:b/>
          <w:bCs/>
          <w:sz w:val="24"/>
          <w:lang w:val="en-US" w:eastAsia="zh-CN"/>
        </w:rPr>
        <w:t>一、</w:t>
      </w:r>
      <w:r>
        <w:rPr>
          <w:rFonts w:hint="eastAsia" w:ascii="仿宋" w:hAnsi="仿宋" w:eastAsia="仿宋" w:cs="仿宋"/>
          <w:b/>
          <w:bCs/>
          <w:sz w:val="24"/>
        </w:rPr>
        <w:t>学校简介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神木实验学校, 是由北京师范大学教育集团提供教育资源服务的十五年制体制创新学校。学校位于全国百强县陕西省神木市城区，总占地约240亩，设计办学规模为114个班。2019年秋季开学招收小、初初始段学生，现面向全国招聘重点高校应往届毕业生和在职优秀骨干教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ascii="仿宋" w:hAnsi="仿宋" w:eastAsia="仿宋" w:cs="仿宋"/>
          <w:b/>
          <w:bCs/>
          <w:sz w:val="24"/>
        </w:rPr>
      </w:pPr>
      <w:r>
        <w:rPr>
          <w:rFonts w:hint="eastAsia" w:ascii="仿宋" w:hAnsi="仿宋" w:eastAsia="仿宋" w:cs="仿宋"/>
          <w:b/>
          <w:bCs/>
          <w:sz w:val="24"/>
          <w:lang w:val="en-US" w:eastAsia="zh-CN"/>
        </w:rPr>
        <w:t>二、</w:t>
      </w:r>
      <w:r>
        <w:rPr>
          <w:rFonts w:hint="eastAsia" w:ascii="仿宋" w:hAnsi="仿宋" w:eastAsia="仿宋" w:cs="仿宋"/>
          <w:b/>
          <w:bCs/>
          <w:sz w:val="24"/>
        </w:rPr>
        <w:t>招聘条件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default" w:ascii="仿宋" w:hAnsi="仿宋" w:eastAsia="仿宋" w:cs="仿宋"/>
          <w:b w:val="0"/>
          <w:bCs w:val="0"/>
          <w:sz w:val="24"/>
          <w:lang w:val="en-US" w:eastAsia="zh-CN"/>
        </w:rPr>
      </w:pPr>
      <w:r>
        <w:rPr>
          <w:rFonts w:hint="eastAsia" w:ascii="仿宋" w:hAnsi="仿宋" w:eastAsia="仿宋" w:cs="仿宋"/>
          <w:b w:val="0"/>
          <w:bCs w:val="0"/>
          <w:sz w:val="24"/>
          <w:lang w:val="en-US" w:eastAsia="zh-CN"/>
        </w:rPr>
        <w:t>(一)基本条件：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1.认同北师大办学理念，热爱教育事业，品行端正，身体健康，善于合作，</w:t>
      </w:r>
      <w:bookmarkEnd w:id="0"/>
      <w:r>
        <w:rPr>
          <w:rFonts w:hint="eastAsia" w:ascii="仿宋" w:hAnsi="仿宋" w:eastAsia="仿宋" w:cs="仿宋"/>
          <w:b w:val="0"/>
          <w:bCs w:val="0"/>
          <w:kern w:val="2"/>
          <w:sz w:val="24"/>
          <w:szCs w:val="24"/>
          <w:lang w:val="en-US" w:eastAsia="zh-CN" w:bidi="ar-SA"/>
        </w:rPr>
        <w:t>有强烈的责任感意识和奉献精神；</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sz w:val="24"/>
          <w:lang w:val="en-US" w:eastAsia="zh-CN"/>
        </w:rPr>
      </w:pPr>
      <w:r>
        <w:rPr>
          <w:rFonts w:hint="eastAsia" w:ascii="仿宋" w:hAnsi="仿宋" w:eastAsia="仿宋" w:cs="仿宋"/>
          <w:b w:val="0"/>
          <w:bCs w:val="0"/>
          <w:sz w:val="24"/>
          <w:lang w:val="en-US" w:eastAsia="zh-CN"/>
        </w:rPr>
        <w:t>2.全日制一类本科及以上学历，普通话达二级乙等及以上（语文学科教师要求普通话达二级甲等及以上），能熟练使用office软件和电子白板等进行多媒体教学。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（二）优秀应往届毕业生: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2018、2019年毕业的部省共建重点师范院校师范类专业本科及以上（免费师范生优先）毕业生或其他985院校、211院校硕士以上学历毕业生，取得毕业证书、学位证书，2019年上岗前能取得相应学段教师资格证书（英语教师要求达到英语专业四级，专业八级者优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（三）优秀在职教师：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1.具有全日制一类本科及以上学历。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2.年龄在35周岁以下，教育教学成绩突出，获得过市州教学一等奖以上奖励。特级教师、高级教师、市级及以上骨干教师可放宽到40周岁以下。</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（四）限制条件：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神木本市在编教职工及2018年引才计划招聘录用人员不得报考。</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rPr>
        <w:t>三、岗位需求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b/>
          <w:bCs/>
          <w:color w:val="auto"/>
          <w:sz w:val="24"/>
          <w:lang w:val="en-US" w:eastAsia="zh-CN"/>
        </w:rPr>
      </w:pPr>
    </w:p>
    <w:tbl>
      <w:tblPr>
        <w:tblStyle w:val="5"/>
        <w:tblW w:w="10128" w:type="dxa"/>
        <w:jc w:val="center"/>
        <w:tblInd w:w="0" w:type="dxa"/>
        <w:tblLayout w:type="fixed"/>
        <w:tblCellMar>
          <w:top w:w="15" w:type="dxa"/>
          <w:left w:w="15" w:type="dxa"/>
          <w:bottom w:w="15" w:type="dxa"/>
          <w:right w:w="15" w:type="dxa"/>
        </w:tblCellMar>
      </w:tblPr>
      <w:tblGrid>
        <w:gridCol w:w="701"/>
        <w:gridCol w:w="378"/>
        <w:gridCol w:w="361"/>
        <w:gridCol w:w="395"/>
        <w:gridCol w:w="359"/>
        <w:gridCol w:w="397"/>
        <w:gridCol w:w="378"/>
        <w:gridCol w:w="436"/>
        <w:gridCol w:w="410"/>
        <w:gridCol w:w="381"/>
        <w:gridCol w:w="384"/>
        <w:gridCol w:w="382"/>
        <w:gridCol w:w="382"/>
        <w:gridCol w:w="434"/>
        <w:gridCol w:w="380"/>
        <w:gridCol w:w="378"/>
        <w:gridCol w:w="388"/>
        <w:gridCol w:w="436"/>
        <w:gridCol w:w="468"/>
        <w:gridCol w:w="374"/>
        <w:gridCol w:w="378"/>
        <w:gridCol w:w="378"/>
        <w:gridCol w:w="377"/>
        <w:gridCol w:w="379"/>
        <w:gridCol w:w="414"/>
      </w:tblGrid>
      <w:tr>
        <w:tblPrEx>
          <w:tblLayout w:type="fixed"/>
          <w:tblCellMar>
            <w:top w:w="15" w:type="dxa"/>
            <w:left w:w="15" w:type="dxa"/>
            <w:bottom w:w="15" w:type="dxa"/>
            <w:right w:w="15" w:type="dxa"/>
          </w:tblCellMar>
        </w:tblPrEx>
        <w:trPr>
          <w:trHeight w:val="59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c>
          <w:tcPr>
            <w:tcW w:w="7501"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教学学科</w:t>
            </w:r>
          </w:p>
        </w:tc>
        <w:tc>
          <w:tcPr>
            <w:tcW w:w="1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非教学学科</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p>
        </w:tc>
      </w:tr>
      <w:tr>
        <w:tblPrEx>
          <w:tblLayout w:type="fixed"/>
          <w:tblCellMar>
            <w:top w:w="15" w:type="dxa"/>
            <w:left w:w="15" w:type="dxa"/>
            <w:bottom w:w="15" w:type="dxa"/>
            <w:right w:w="15" w:type="dxa"/>
          </w:tblCellMar>
        </w:tblPrEx>
        <w:trPr>
          <w:trHeight w:val="12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学段</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语文</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数学</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英语</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化学</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生物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政治</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历</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史</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音乐</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eastAsia="zh-CN"/>
              </w:rPr>
            </w:pPr>
            <w:r>
              <w:rPr>
                <w:rFonts w:hint="eastAsia" w:ascii="仿宋" w:hAnsi="仿宋" w:eastAsia="仿宋" w:cs="仿宋"/>
                <w:b/>
                <w:color w:val="000000"/>
                <w:kern w:val="0"/>
                <w:sz w:val="24"/>
                <w:lang w:val="en-US" w:eastAsia="zh-CN"/>
              </w:rPr>
              <w:t>体育</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舞蹈</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美术</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书法</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手工</w:t>
            </w:r>
            <w:r>
              <w:rPr>
                <w:rFonts w:hint="eastAsia" w:ascii="仿宋" w:hAnsi="仿宋" w:eastAsia="仿宋" w:cs="仿宋"/>
                <w:b/>
                <w:color w:val="000000"/>
                <w:kern w:val="0"/>
                <w:sz w:val="24"/>
                <w:lang w:val="en-US" w:eastAsia="zh-CN"/>
              </w:rPr>
              <w:t>劳技</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信</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息</w:t>
            </w:r>
          </w:p>
          <w:p>
            <w:pPr>
              <w:widowControl/>
              <w:jc w:val="center"/>
              <w:textAlignment w:val="center"/>
              <w:rPr>
                <w:rFonts w:hint="eastAsia" w:ascii="仿宋" w:hAnsi="仿宋" w:eastAsia="仿宋" w:cs="仿宋"/>
                <w:b/>
                <w:color w:val="000000"/>
                <w:kern w:val="0"/>
                <w:sz w:val="24"/>
              </w:rPr>
            </w:pPr>
            <w:r>
              <w:rPr>
                <w:rFonts w:hint="eastAsia" w:ascii="仿宋" w:hAnsi="仿宋" w:eastAsia="仿宋" w:cs="仿宋"/>
                <w:b/>
                <w:color w:val="000000"/>
                <w:kern w:val="0"/>
                <w:sz w:val="24"/>
              </w:rPr>
              <w:t>技</w:t>
            </w:r>
          </w:p>
          <w:p>
            <w:pPr>
              <w:widowControl/>
              <w:jc w:val="center"/>
              <w:textAlignment w:val="center"/>
              <w:rPr>
                <w:rFonts w:hint="eastAsia" w:ascii="仿宋" w:hAnsi="仿宋" w:eastAsia="仿宋" w:cs="仿宋"/>
                <w:b/>
                <w:color w:val="000000"/>
                <w:sz w:val="24"/>
                <w:lang w:val="en-US" w:eastAsia="zh-CN"/>
              </w:rPr>
            </w:pPr>
            <w:r>
              <w:rPr>
                <w:rFonts w:hint="eastAsia" w:ascii="仿宋" w:hAnsi="仿宋" w:eastAsia="仿宋" w:cs="仿宋"/>
                <w:b/>
                <w:color w:val="000000"/>
                <w:kern w:val="0"/>
                <w:sz w:val="24"/>
              </w:rPr>
              <w:t>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综合</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实践</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通用</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技术</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心理</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校医</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图书馆</w:t>
            </w: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行政文秘</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财会</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共计人数</w:t>
            </w:r>
          </w:p>
        </w:tc>
      </w:tr>
      <w:tr>
        <w:tblPrEx>
          <w:tblLayout w:type="fixed"/>
          <w:tblCellMar>
            <w:top w:w="15" w:type="dxa"/>
            <w:left w:w="15" w:type="dxa"/>
            <w:bottom w:w="15" w:type="dxa"/>
            <w:right w:w="15" w:type="dxa"/>
          </w:tblCellMar>
        </w:tblPrEx>
        <w:trPr>
          <w:trHeight w:val="630" w:hRule="atLeast"/>
          <w:jc w:val="center"/>
        </w:trPr>
        <w:tc>
          <w:tcPr>
            <w:tcW w:w="70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小学</w:t>
            </w: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6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5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4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000000"/>
                <w:sz w:val="24"/>
                <w:lang w:val="en-US" w:eastAsia="zh-CN"/>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434" w:type="dxa"/>
            <w:tcBorders>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000000"/>
                <w:sz w:val="24"/>
                <w:lang w:val="en-US" w:eastAsia="zh-CN"/>
              </w:rPr>
            </w:pPr>
          </w:p>
        </w:tc>
        <w:tc>
          <w:tcPr>
            <w:tcW w:w="38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初中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6</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4</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4</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000000"/>
                <w:sz w:val="24"/>
                <w:lang w:val="en-US" w:eastAsia="zh-CN"/>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26</w:t>
            </w:r>
          </w:p>
        </w:tc>
      </w:tr>
      <w:tr>
        <w:tblPrEx>
          <w:tblLayout w:type="fixed"/>
          <w:tblCellMar>
            <w:top w:w="15" w:type="dxa"/>
            <w:left w:w="15" w:type="dxa"/>
            <w:bottom w:w="15" w:type="dxa"/>
            <w:right w:w="15" w:type="dxa"/>
          </w:tblCellMar>
        </w:tblPrEx>
        <w:trPr>
          <w:trHeight w:val="742"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高中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总计</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6</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4</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4</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3</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000000"/>
                <w:sz w:val="24"/>
                <w:lang w:val="en-US" w:eastAsia="zh-CN"/>
              </w:rPr>
            </w:pPr>
            <w:r>
              <w:rPr>
                <w:rFonts w:hint="eastAsia" w:ascii="仿宋" w:hAnsi="仿宋" w:eastAsia="仿宋" w:cs="仿宋"/>
                <w:color w:val="000000"/>
                <w:sz w:val="24"/>
                <w:lang w:val="en-US" w:eastAsia="zh-CN"/>
              </w:rPr>
              <w:t>26</w:t>
            </w:r>
          </w:p>
        </w:tc>
      </w:tr>
      <w:tr>
        <w:tblPrEx>
          <w:tblLayout w:type="fixed"/>
          <w:tblCellMar>
            <w:top w:w="15" w:type="dxa"/>
            <w:left w:w="15" w:type="dxa"/>
            <w:bottom w:w="15" w:type="dxa"/>
            <w:right w:w="15" w:type="dxa"/>
          </w:tblCellMar>
        </w:tblPrEx>
        <w:trPr>
          <w:trHeight w:val="195" w:hRule="atLeast"/>
          <w:jc w:val="center"/>
        </w:trPr>
        <w:tc>
          <w:tcPr>
            <w:tcW w:w="10128"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 w:hAnsi="仿宋" w:eastAsia="仿宋" w:cs="仿宋"/>
                <w:b/>
                <w:bCs/>
                <w:color w:val="000000"/>
                <w:kern w:val="0"/>
                <w:sz w:val="24"/>
              </w:rPr>
            </w:pPr>
            <w:r>
              <w:rPr>
                <w:rFonts w:hint="eastAsia" w:ascii="仿宋" w:hAnsi="仿宋" w:eastAsia="仿宋" w:cs="仿宋"/>
                <w:b/>
                <w:bCs/>
                <w:color w:val="000000"/>
                <w:kern w:val="0"/>
                <w:sz w:val="24"/>
              </w:rPr>
              <w:t>备注：</w:t>
            </w:r>
          </w:p>
          <w:p>
            <w:pPr>
              <w:widowControl/>
              <w:jc w:val="left"/>
              <w:textAlignment w:val="center"/>
              <w:rPr>
                <w:rFonts w:hint="eastAsia" w:ascii="仿宋" w:hAnsi="仿宋" w:eastAsia="仿宋" w:cs="仿宋"/>
                <w:b/>
                <w:bCs/>
                <w:color w:val="000000"/>
                <w:kern w:val="0"/>
                <w:sz w:val="24"/>
              </w:rPr>
            </w:pPr>
            <w:r>
              <w:rPr>
                <w:rFonts w:hint="eastAsia" w:ascii="仿宋" w:hAnsi="仿宋" w:eastAsia="仿宋" w:cs="仿宋"/>
                <w:b/>
                <w:bCs/>
                <w:color w:val="000000"/>
                <w:kern w:val="0"/>
                <w:sz w:val="24"/>
              </w:rPr>
              <w:t>1</w:t>
            </w:r>
            <w:r>
              <w:rPr>
                <w:rFonts w:hint="eastAsia" w:ascii="仿宋" w:hAnsi="仿宋" w:eastAsia="仿宋" w:cs="仿宋"/>
                <w:b/>
                <w:bCs/>
                <w:color w:val="000000"/>
                <w:kern w:val="0"/>
                <w:sz w:val="24"/>
                <w:lang w:val="en-US" w:eastAsia="zh-CN"/>
              </w:rPr>
              <w:t>.</w:t>
            </w:r>
            <w:r>
              <w:rPr>
                <w:rFonts w:hint="eastAsia" w:ascii="仿宋" w:hAnsi="仿宋" w:eastAsia="仿宋" w:cs="仿宋"/>
                <w:b/>
                <w:bCs/>
                <w:color w:val="000000"/>
                <w:kern w:val="0"/>
                <w:sz w:val="24"/>
              </w:rPr>
              <w:t>美术：陶艺、版画、油画方向；</w:t>
            </w:r>
          </w:p>
          <w:p>
            <w:pPr>
              <w:widowControl/>
              <w:jc w:val="left"/>
              <w:textAlignment w:val="center"/>
              <w:rPr>
                <w:rFonts w:hint="eastAsia" w:ascii="仿宋" w:hAnsi="仿宋" w:eastAsia="仿宋" w:cs="仿宋"/>
                <w:b/>
                <w:bCs/>
                <w:color w:val="000000"/>
                <w:kern w:val="0"/>
                <w:sz w:val="24"/>
              </w:rPr>
            </w:pPr>
            <w:r>
              <w:rPr>
                <w:rFonts w:hint="eastAsia" w:ascii="仿宋" w:hAnsi="仿宋" w:eastAsia="仿宋" w:cs="仿宋"/>
                <w:b/>
                <w:bCs/>
                <w:color w:val="000000"/>
                <w:kern w:val="0"/>
                <w:sz w:val="24"/>
                <w:lang w:val="en-US" w:eastAsia="zh-CN"/>
              </w:rPr>
              <w:t>2.</w:t>
            </w:r>
            <w:r>
              <w:rPr>
                <w:rFonts w:hint="eastAsia" w:ascii="仿宋" w:hAnsi="仿宋" w:eastAsia="仿宋" w:cs="仿宋"/>
                <w:b/>
                <w:bCs/>
                <w:color w:val="000000"/>
                <w:kern w:val="0"/>
                <w:sz w:val="24"/>
              </w:rPr>
              <w:t>体育：游泳（女）、</w:t>
            </w:r>
            <w:r>
              <w:rPr>
                <w:rFonts w:hint="eastAsia" w:ascii="仿宋" w:hAnsi="仿宋" w:eastAsia="仿宋" w:cs="仿宋"/>
                <w:b/>
                <w:bCs/>
                <w:color w:val="000000"/>
                <w:kern w:val="0"/>
                <w:sz w:val="24"/>
                <w:lang w:eastAsia="zh-CN"/>
              </w:rPr>
              <w:t>健美操（女）、</w:t>
            </w:r>
            <w:r>
              <w:rPr>
                <w:rFonts w:hint="eastAsia" w:ascii="仿宋" w:hAnsi="仿宋" w:eastAsia="仿宋" w:cs="仿宋"/>
                <w:b/>
                <w:bCs/>
                <w:color w:val="000000"/>
                <w:kern w:val="0"/>
                <w:sz w:val="24"/>
              </w:rPr>
              <w:t>足球、武术、羽毛球方向；</w:t>
            </w:r>
          </w:p>
          <w:p>
            <w:pPr>
              <w:widowControl/>
              <w:jc w:val="left"/>
              <w:textAlignment w:val="center"/>
              <w:rPr>
                <w:rFonts w:ascii="仿宋" w:hAnsi="仿宋" w:eastAsia="仿宋" w:cs="仿宋"/>
                <w:b/>
                <w:bCs/>
                <w:color w:val="000000"/>
                <w:kern w:val="0"/>
                <w:sz w:val="24"/>
              </w:rPr>
            </w:pPr>
            <w:r>
              <w:rPr>
                <w:rFonts w:hint="eastAsia" w:ascii="仿宋" w:hAnsi="仿宋" w:eastAsia="仿宋" w:cs="仿宋"/>
                <w:b/>
                <w:bCs/>
                <w:color w:val="000000"/>
                <w:kern w:val="0"/>
                <w:sz w:val="24"/>
                <w:lang w:val="en-US" w:eastAsia="zh-CN"/>
              </w:rPr>
              <w:t>3.</w:t>
            </w:r>
            <w:r>
              <w:rPr>
                <w:rFonts w:hint="eastAsia" w:ascii="仿宋" w:hAnsi="仿宋" w:eastAsia="仿宋" w:cs="仿宋"/>
                <w:b/>
                <w:bCs/>
                <w:color w:val="000000"/>
                <w:kern w:val="0"/>
                <w:sz w:val="24"/>
              </w:rPr>
              <w:t>信息技术：网络工程、软件工程</w:t>
            </w:r>
            <w:r>
              <w:rPr>
                <w:rFonts w:hint="eastAsia" w:ascii="仿宋" w:hAnsi="仿宋" w:eastAsia="仿宋" w:cs="仿宋"/>
                <w:b/>
                <w:bCs/>
                <w:color w:val="000000"/>
                <w:kern w:val="0"/>
                <w:sz w:val="24"/>
                <w:lang w:eastAsia="zh-CN"/>
              </w:rPr>
              <w:t>、</w:t>
            </w:r>
            <w:r>
              <w:rPr>
                <w:rFonts w:hint="eastAsia" w:ascii="仿宋" w:hAnsi="仿宋" w:eastAsia="仿宋" w:cs="仿宋"/>
                <w:b/>
                <w:bCs/>
                <w:color w:val="000000"/>
                <w:kern w:val="0"/>
                <w:sz w:val="24"/>
              </w:rPr>
              <w:t>人工智能方向</w:t>
            </w:r>
            <w:r>
              <w:rPr>
                <w:rFonts w:hint="eastAsia" w:ascii="仿宋" w:hAnsi="仿宋" w:eastAsia="仿宋" w:cs="仿宋"/>
                <w:b/>
                <w:bCs/>
                <w:color w:val="000000"/>
                <w:kern w:val="0"/>
                <w:sz w:val="24"/>
                <w:lang w:eastAsia="zh-CN"/>
              </w:rPr>
              <w:t>。</w:t>
            </w:r>
          </w:p>
        </w:tc>
      </w:tr>
    </w:tbl>
    <w:p>
      <w:pPr>
        <w:rPr>
          <w:rFonts w:hint="eastAsia" w:ascii="仿宋" w:hAnsi="仿宋" w:eastAsia="仿宋" w:cs="仿宋"/>
          <w:sz w:val="24"/>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cs="仿宋"/>
          <w:b/>
          <w:bCs/>
          <w:sz w:val="24"/>
        </w:rPr>
      </w:pPr>
      <w:r>
        <w:rPr>
          <w:rFonts w:hint="eastAsia" w:ascii="仿宋" w:hAnsi="仿宋" w:eastAsia="仿宋" w:cs="仿宋"/>
          <w:b/>
          <w:bCs/>
          <w:sz w:val="24"/>
        </w:rPr>
        <w:t>四、联系方式</w:t>
      </w: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仿宋" w:hAnsi="仿宋" w:eastAsia="仿宋" w:cs="仿宋"/>
          <w:sz w:val="24"/>
        </w:rPr>
      </w:pPr>
      <w:r>
        <w:rPr>
          <w:rFonts w:hint="eastAsia" w:ascii="仿宋" w:hAnsi="仿宋" w:eastAsia="仿宋" w:cs="仿宋"/>
          <w:sz w:val="24"/>
        </w:rPr>
        <w:t xml:space="preserve">联系人： </w:t>
      </w:r>
      <w:r>
        <w:rPr>
          <w:rFonts w:hint="eastAsia" w:ascii="仿宋" w:hAnsi="仿宋" w:eastAsia="仿宋" w:cs="仿宋"/>
          <w:sz w:val="24"/>
          <w:lang w:eastAsia="zh-CN"/>
        </w:rPr>
        <w:t>高</w:t>
      </w:r>
      <w:r>
        <w:rPr>
          <w:rFonts w:hint="eastAsia" w:ascii="仿宋" w:hAnsi="仿宋" w:eastAsia="仿宋" w:cs="仿宋"/>
          <w:sz w:val="24"/>
        </w:rPr>
        <w:t>老师</w:t>
      </w:r>
      <w:r>
        <w:rPr>
          <w:rFonts w:hint="eastAsia" w:ascii="仿宋" w:hAnsi="仿宋" w:eastAsia="仿宋" w:cs="仿宋"/>
          <w:sz w:val="24"/>
          <w:lang w:val="en-US" w:eastAsia="zh-CN"/>
        </w:rPr>
        <w:t xml:space="preserve">  </w:t>
      </w:r>
      <w:r>
        <w:rPr>
          <w:rFonts w:hint="eastAsia" w:ascii="仿宋" w:hAnsi="仿宋" w:eastAsia="仿宋" w:cs="仿宋"/>
          <w:sz w:val="24"/>
        </w:rPr>
        <w:t>联系方式：</w:t>
      </w:r>
      <w:r>
        <w:rPr>
          <w:rFonts w:hint="eastAsia" w:ascii="仿宋" w:hAnsi="仿宋" w:eastAsia="仿宋" w:cs="仿宋"/>
          <w:sz w:val="24"/>
          <w:lang w:val="en-US" w:eastAsia="zh-CN"/>
        </w:rPr>
        <w:t xml:space="preserve"> 电话：0912-8553115</w:t>
      </w:r>
      <w:r>
        <w:rPr>
          <w:rFonts w:hint="eastAsia" w:ascii="仿宋" w:hAnsi="仿宋" w:eastAsia="仿宋" w:cs="仿宋"/>
          <w:sz w:val="24"/>
        </w:rPr>
        <w:t xml:space="preserve">  </w:t>
      </w:r>
      <w:r>
        <w:rPr>
          <w:rFonts w:hint="eastAsia" w:ascii="仿宋" w:hAnsi="仿宋" w:eastAsia="仿宋" w:cs="仿宋"/>
          <w:sz w:val="24"/>
          <w:lang w:eastAsia="zh-CN"/>
        </w:rPr>
        <w:t>手机：</w:t>
      </w:r>
      <w:r>
        <w:rPr>
          <w:rFonts w:hint="eastAsia" w:ascii="仿宋" w:hAnsi="仿宋" w:eastAsia="仿宋" w:cs="仿宋"/>
          <w:sz w:val="24"/>
          <w:lang w:val="en-US" w:eastAsia="zh-CN"/>
        </w:rPr>
        <w:t>19929615678</w:t>
      </w:r>
      <w:r>
        <w:rPr>
          <w:rFonts w:hint="eastAsia" w:ascii="仿宋" w:hAnsi="仿宋" w:eastAsia="仿宋" w:cs="仿宋"/>
          <w:sz w:val="24"/>
        </w:rPr>
        <w:t xml:space="preserve"> </w:t>
      </w:r>
    </w:p>
    <w:p>
      <w:pPr>
        <w:keepNext w:val="0"/>
        <w:keepLines w:val="0"/>
        <w:pageBreakBefore w:val="0"/>
        <w:widowControl w:val="0"/>
        <w:kinsoku/>
        <w:wordWrap/>
        <w:overflowPunct/>
        <w:topLinePunct w:val="0"/>
        <w:autoSpaceDE/>
        <w:autoSpaceDN/>
        <w:bidi w:val="0"/>
        <w:adjustRightInd/>
        <w:snapToGrid/>
        <w:spacing w:after="3747" w:afterLines="1201" w:afterAutospacing="0" w:line="400" w:lineRule="exact"/>
        <w:ind w:firstLine="420"/>
        <w:textAlignment w:val="auto"/>
        <w:rPr>
          <w:rFonts w:hint="eastAsia" w:ascii="仿宋" w:hAnsi="仿宋" w:eastAsia="仿宋" w:cs="仿宋"/>
          <w:sz w:val="24"/>
          <w:lang w:eastAsia="zh-CN"/>
        </w:rPr>
      </w:pPr>
      <w:r>
        <w:rPr>
          <w:rFonts w:hint="eastAsia" w:ascii="仿宋" w:hAnsi="仿宋" w:eastAsia="仿宋" w:cs="仿宋"/>
          <w:sz w:val="24"/>
          <w:lang w:eastAsia="zh-CN"/>
        </w:rPr>
        <w:drawing>
          <wp:anchor distT="0" distB="0" distL="114300" distR="114300" simplePos="0" relativeHeight="251658240" behindDoc="0" locked="0" layoutInCell="1" allowOverlap="1">
            <wp:simplePos x="0" y="0"/>
            <wp:positionH relativeFrom="column">
              <wp:posOffset>3756025</wp:posOffset>
            </wp:positionH>
            <wp:positionV relativeFrom="paragraph">
              <wp:posOffset>38100</wp:posOffset>
            </wp:positionV>
            <wp:extent cx="1414145" cy="1831340"/>
            <wp:effectExtent l="0" t="0" r="14605" b="16510"/>
            <wp:wrapSquare wrapText="bothSides"/>
            <wp:docPr id="6" name="图片 6" descr="fdf5c0133140a4c8f369f3b72988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df5c0133140a4c8f369f3b7298894c"/>
                    <pic:cNvPicPr>
                      <a:picLocks noChangeAspect="1"/>
                    </pic:cNvPicPr>
                  </pic:nvPicPr>
                  <pic:blipFill>
                    <a:blip r:embed="rId4"/>
                    <a:stretch>
                      <a:fillRect/>
                    </a:stretch>
                  </pic:blipFill>
                  <pic:spPr>
                    <a:xfrm>
                      <a:off x="0" y="0"/>
                      <a:ext cx="1414145" cy="1831340"/>
                    </a:xfrm>
                    <a:prstGeom prst="rect">
                      <a:avLst/>
                    </a:prstGeom>
                  </pic:spPr>
                </pic:pic>
              </a:graphicData>
            </a:graphic>
          </wp:anchor>
        </w:drawing>
      </w:r>
      <w:r>
        <w:rPr>
          <w:rFonts w:hint="eastAsia" w:ascii="仿宋" w:hAnsi="仿宋" w:eastAsia="仿宋" w:cs="仿宋"/>
          <w:sz w:val="24"/>
          <w:lang w:eastAsia="zh-CN"/>
        </w:rPr>
        <w:t>资料投递邮箱：</w:t>
      </w:r>
      <w:r>
        <w:rPr>
          <w:rFonts w:hint="eastAsia" w:ascii="仿宋" w:hAnsi="仿宋" w:eastAsia="仿宋" w:cs="仿宋"/>
          <w:sz w:val="24"/>
          <w:lang w:val="en-US" w:eastAsia="zh-CN"/>
        </w:rPr>
        <w:t>740641611@qq.com</w:t>
      </w: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lang w:eastAsia="zh-CN"/>
        </w:rPr>
        <w:t>加群联系：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20"/>
        <w:textAlignment w:val="auto"/>
        <w:rPr>
          <w:rFonts w:hint="eastAsia" w:ascii="仿宋" w:hAnsi="仿宋" w:eastAsia="仿宋" w:cs="仿宋"/>
          <w:sz w:val="24"/>
          <w:lang w:eastAsia="zh-CN"/>
        </w:rPr>
      </w:pPr>
      <w:r>
        <w:rPr>
          <w:rFonts w:hint="eastAsia" w:ascii="仿宋" w:hAnsi="仿宋" w:eastAsia="仿宋" w:cs="仿宋"/>
          <w:sz w:val="24"/>
          <w:lang w:eastAsia="zh-CN"/>
        </w:rPr>
        <w:drawing>
          <wp:inline distT="0" distB="0" distL="114300" distR="114300">
            <wp:extent cx="5271770" cy="6828155"/>
            <wp:effectExtent l="0" t="0" r="5080" b="10795"/>
            <wp:docPr id="3" name="图片 3" descr="fdf5c0133140a4c8f369f3b72988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df5c0133140a4c8f369f3b7298894c"/>
                    <pic:cNvPicPr>
                      <a:picLocks noChangeAspect="1"/>
                    </pic:cNvPicPr>
                  </pic:nvPicPr>
                  <pic:blipFill>
                    <a:blip r:embed="rId4"/>
                    <a:stretch>
                      <a:fillRect/>
                    </a:stretch>
                  </pic:blipFill>
                  <pic:spPr>
                    <a:xfrm>
                      <a:off x="0" y="0"/>
                      <a:ext cx="5271770" cy="682815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AF30400"/>
    <w:rsid w:val="2BD27D0C"/>
    <w:rsid w:val="65EB23EB"/>
    <w:rsid w:val="6FF41B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 w:type="paragraph" w:customStyle="1"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172</Words>
  <Characters>986</Characters>
  <Lines>8</Lines>
  <Paragraphs>2</Paragraphs>
  <TotalTime>14</TotalTime>
  <ScaleCrop>false</ScaleCrop>
  <LinksUpToDate>false</LinksUpToDate>
  <CharactersWithSpaces>1156</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2018-02-28T16:48:00Z</dcterms:created>
  <dc:creator>linda</dc:creator>
  <cp:lastModifiedBy>小二涵涵✨</cp:lastModifiedBy>
  <cp:lastPrinted>2019-04-17T02:39:00Z</cp:lastPrinted>
  <dcterms:modified xsi:type="dcterms:W3CDTF">2019-04-18T01:45:27Z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