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6"/>
          <w:szCs w:val="36"/>
        </w:rPr>
      </w:pPr>
      <w:r>
        <w:rPr>
          <w:rFonts w:hAnsi="黑体" w:eastAsia="黑体"/>
          <w:color w:val="000000"/>
          <w:kern w:val="0"/>
          <w:sz w:val="36"/>
          <w:szCs w:val="36"/>
        </w:rPr>
        <w:t>附件</w:t>
      </w:r>
      <w:r>
        <w:rPr>
          <w:rFonts w:eastAsia="黑体"/>
          <w:color w:val="000000"/>
          <w:kern w:val="0"/>
          <w:sz w:val="36"/>
          <w:szCs w:val="36"/>
        </w:rPr>
        <w:t>1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桃江县2020年定向引进全额事业编制高层次（紧缺）人才</w:t>
      </w:r>
      <w:r>
        <w:rPr>
          <w:rFonts w:eastAsia="方正小标宋简体"/>
          <w:color w:val="000000"/>
          <w:kern w:val="0"/>
          <w:sz w:val="44"/>
          <w:szCs w:val="44"/>
        </w:rPr>
        <w:t>需求目录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542"/>
        <w:gridCol w:w="1776"/>
        <w:gridCol w:w="890"/>
        <w:gridCol w:w="1576"/>
        <w:gridCol w:w="3053"/>
        <w:gridCol w:w="2308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97" w:type="pct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627" w:type="pct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314" w:type="pct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计划引进人数</w:t>
            </w:r>
          </w:p>
        </w:tc>
        <w:tc>
          <w:tcPr>
            <w:tcW w:w="2446" w:type="pct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556" w:type="pct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" w:type="pct"/>
            <w:vMerge w:val="continue"/>
            <w:tcBorders>
              <w:top w:val="single" w:color="000000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9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最低学历</w:t>
            </w:r>
            <w:r>
              <w:rPr>
                <w:rFonts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Ansi="黑体" w:eastAsia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" w:type="pc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县农业农村局农田建设管理中心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全日制二本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灰山港工业集中区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全日制二本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城市规划、城乡规划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0" w:type="pct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9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县市监局基层监管所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全日制二本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7" w:type="pct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C0D5C"/>
    <w:rsid w:val="69B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2020-06-22T09:17:00Z</dcterms:created>
  <dc:creator>哈哈1410425630</dc:creator>
  <cp:lastModifiedBy>哈哈1410425630</cp:lastModifiedBy>
  <dcterms:modified xsi:type="dcterms:W3CDTF">2020-06-22T09:17:55Z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