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常山县2021年“英才荟”紧缺急需人才</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公开招聘公告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为进一步加快建设四省边际人才新高地，打造人才聚集“桥头堡”</w:t>
      </w:r>
      <w:r>
        <w:rPr>
          <w:rFonts w:ascii="Times New Roman" w:hAnsi="Times New Roman" w:eastAsia="仿宋_GB2312" w:cs="Times New Roman"/>
          <w:sz w:val="34"/>
          <w:szCs w:val="34"/>
        </w:rPr>
        <w:t>，储备培养优秀年轻干部，服务县域经济发展，根据《常山县高层次、紧缺急需人才引进（暂行办法）》和《关于进一步健全经济型人才共享共育机制的实施意见》（常政办发〔2019〕67号）等文件精神，经研究，决定面向社会公开招聘</w:t>
      </w:r>
      <w:r>
        <w:rPr>
          <w:rFonts w:hint="eastAsia" w:ascii="Times New Roman" w:hAnsi="Times New Roman" w:eastAsia="仿宋_GB2312" w:cs="Times New Roman"/>
          <w:sz w:val="34"/>
          <w:szCs w:val="34"/>
        </w:rPr>
        <w:t>一批高层次</w:t>
      </w:r>
      <w:r>
        <w:rPr>
          <w:rFonts w:ascii="Times New Roman" w:hAnsi="Times New Roman" w:eastAsia="仿宋_GB2312" w:cs="Times New Roman"/>
          <w:sz w:val="34"/>
          <w:szCs w:val="34"/>
        </w:rPr>
        <w:t>紧缺急需的经济型、复合型人才</w:t>
      </w:r>
      <w:r>
        <w:rPr>
          <w:rFonts w:hint="eastAsia" w:ascii="Times New Roman" w:hAnsi="Times New Roman" w:eastAsia="仿宋_GB2312" w:cs="Times New Roman"/>
          <w:sz w:val="34"/>
          <w:szCs w:val="34"/>
        </w:rPr>
        <w:t>。</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黑体" w:hAnsi="黑体" w:eastAsia="黑体" w:cs="黑体"/>
          <w:bCs/>
          <w:sz w:val="34"/>
          <w:szCs w:val="34"/>
        </w:rPr>
      </w:pPr>
      <w:r>
        <w:rPr>
          <w:rFonts w:hint="eastAsia" w:ascii="黑体" w:hAnsi="黑体" w:eastAsia="黑体" w:cs="黑体"/>
          <w:bCs/>
          <w:sz w:val="34"/>
          <w:szCs w:val="34"/>
        </w:rPr>
        <w:t>一、招聘计划</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本次计划引进常山县县属事业单位高层次人才30名。具体引进岗位、人数及报考资格详见附件。</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黑体" w:hAnsi="黑体" w:eastAsia="黑体" w:cs="黑体"/>
          <w:bCs/>
          <w:sz w:val="34"/>
          <w:szCs w:val="34"/>
        </w:rPr>
      </w:pPr>
      <w:r>
        <w:rPr>
          <w:rFonts w:ascii="黑体" w:hAnsi="黑体" w:eastAsia="黑体" w:cs="黑体"/>
          <w:bCs/>
          <w:sz w:val="34"/>
          <w:szCs w:val="34"/>
        </w:rPr>
        <w:t>二、招聘条件</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1.</w:t>
      </w:r>
      <w:r>
        <w:rPr>
          <w:rFonts w:ascii="Times New Roman" w:hAnsi="Times New Roman" w:eastAsia="仿宋_GB2312" w:cs="Times New Roman"/>
          <w:sz w:val="34"/>
          <w:szCs w:val="34"/>
        </w:rPr>
        <w:t>思想政治素质好，品行端正，作风正派，事业心和责任感强，遵守国家法律法规；</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2.</w:t>
      </w:r>
      <w:r>
        <w:rPr>
          <w:rFonts w:ascii="Times New Roman" w:hAnsi="Times New Roman" w:eastAsia="仿宋_GB2312" w:cs="Times New Roman"/>
          <w:sz w:val="34"/>
          <w:szCs w:val="34"/>
        </w:rPr>
        <w:t>具备从事</w:t>
      </w:r>
      <w:r>
        <w:rPr>
          <w:rFonts w:hint="eastAsia" w:ascii="Times New Roman" w:hAnsi="Times New Roman" w:eastAsia="仿宋_GB2312" w:cs="Times New Roman"/>
          <w:sz w:val="34"/>
          <w:szCs w:val="34"/>
        </w:rPr>
        <w:t>文字</w:t>
      </w:r>
      <w:r>
        <w:rPr>
          <w:rFonts w:ascii="Times New Roman" w:hAnsi="Times New Roman" w:eastAsia="仿宋_GB2312" w:cs="Times New Roman"/>
          <w:sz w:val="34"/>
          <w:szCs w:val="34"/>
        </w:rPr>
        <w:t>、项目、管理等工作的专业技能、组织协调管理和口头表达能力等综合素质，服从单位工作安排；</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3.</w:t>
      </w:r>
      <w:r>
        <w:rPr>
          <w:rFonts w:ascii="Times New Roman" w:hAnsi="Times New Roman" w:eastAsia="仿宋_GB2312" w:cs="Times New Roman"/>
          <w:sz w:val="34"/>
          <w:szCs w:val="34"/>
        </w:rPr>
        <w:t>身心健康，具备从事岗位所需要的身体、心理条件；</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4.</w:t>
      </w:r>
      <w:r>
        <w:rPr>
          <w:rFonts w:ascii="Times New Roman" w:hAnsi="Times New Roman" w:eastAsia="仿宋_GB2312" w:cs="Times New Roman"/>
          <w:sz w:val="34"/>
          <w:szCs w:val="34"/>
        </w:rPr>
        <w:t>年龄在35周岁及以下(198</w:t>
      </w:r>
      <w:r>
        <w:rPr>
          <w:rFonts w:hint="eastAsia" w:ascii="Times New Roman" w:hAnsi="Times New Roman" w:eastAsia="仿宋_GB2312" w:cs="Times New Roman"/>
          <w:sz w:val="34"/>
          <w:szCs w:val="34"/>
          <w:lang w:val="en-US" w:eastAsia="zh-CN"/>
        </w:rPr>
        <w:t>5</w:t>
      </w:r>
      <w:r>
        <w:rPr>
          <w:rFonts w:ascii="Times New Roman" w:hAnsi="Times New Roman" w:eastAsia="仿宋_GB2312" w:cs="Times New Roman"/>
          <w:sz w:val="34"/>
          <w:szCs w:val="34"/>
        </w:rPr>
        <w:t>年</w:t>
      </w:r>
      <w:r>
        <w:rPr>
          <w:rFonts w:hint="eastAsia" w:ascii="Times New Roman" w:hAnsi="Times New Roman" w:eastAsia="仿宋_GB2312" w:cs="Times New Roman"/>
          <w:sz w:val="34"/>
          <w:szCs w:val="34"/>
          <w:lang w:val="en-US" w:eastAsia="zh-CN"/>
        </w:rPr>
        <w:t>3</w:t>
      </w:r>
      <w:r>
        <w:rPr>
          <w:rFonts w:ascii="Times New Roman" w:hAnsi="Times New Roman" w:eastAsia="仿宋_GB2312" w:cs="Times New Roman"/>
          <w:sz w:val="34"/>
          <w:szCs w:val="34"/>
        </w:rPr>
        <w:t>月</w:t>
      </w:r>
      <w:r>
        <w:rPr>
          <w:rFonts w:hint="eastAsia" w:ascii="Times New Roman" w:hAnsi="Times New Roman" w:eastAsia="仿宋_GB2312" w:cs="Times New Roman"/>
          <w:sz w:val="34"/>
          <w:szCs w:val="34"/>
          <w:lang w:val="en-US" w:eastAsia="zh-CN"/>
        </w:rPr>
        <w:t>18</w:t>
      </w:r>
      <w:r>
        <w:rPr>
          <w:rFonts w:ascii="Times New Roman" w:hAnsi="Times New Roman" w:eastAsia="仿宋_GB2312" w:cs="Times New Roman"/>
          <w:sz w:val="34"/>
          <w:szCs w:val="34"/>
        </w:rPr>
        <w:t>日以后出生</w:t>
      </w:r>
      <w:r>
        <w:rPr>
          <w:rFonts w:hint="eastAsia" w:ascii="Times New Roman" w:hAnsi="Times New Roman" w:eastAsia="仿宋_GB2312" w:cs="Times New Roman"/>
          <w:sz w:val="34"/>
          <w:szCs w:val="34"/>
        </w:rPr>
        <w:t>）</w:t>
      </w:r>
      <w:r>
        <w:rPr>
          <w:rFonts w:ascii="Times New Roman" w:hAnsi="Times New Roman" w:eastAsia="仿宋_GB2312" w:cs="Times New Roman"/>
          <w:sz w:val="34"/>
          <w:szCs w:val="34"/>
        </w:rPr>
        <w:t>，硕士研究生、博士研究生可放宽至40周岁及以下；</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5.应聘人员不得报考与招聘单位有《事业单位人事管理回避规定》所列回避情形的岗位</w:t>
      </w:r>
      <w:r>
        <w:rPr>
          <w:rFonts w:ascii="Times New Roman" w:hAnsi="Times New Roman" w:eastAsia="仿宋_GB2312" w:cs="Times New Roman"/>
          <w:sz w:val="34"/>
          <w:szCs w:val="34"/>
        </w:rPr>
        <w:t>；</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6.曾因犯罪受过刑事处罚的人员和曾被开除公职的人员，法律法规规定不得报考的其他情形的人员，不得报名</w:t>
      </w:r>
      <w:r>
        <w:rPr>
          <w:rFonts w:ascii="Times New Roman" w:hAnsi="Times New Roman" w:eastAsia="仿宋_GB2312" w:cs="Times New Roman"/>
          <w:sz w:val="34"/>
          <w:szCs w:val="34"/>
        </w:rPr>
        <w:t>。</w:t>
      </w:r>
      <w:r>
        <w:rPr>
          <w:rFonts w:hint="eastAsia" w:ascii="Times New Roman" w:hAnsi="Times New Roman" w:eastAsia="仿宋_GB2312" w:cs="Times New Roman"/>
          <w:sz w:val="34"/>
          <w:szCs w:val="34"/>
        </w:rPr>
        <w:t>衢州市范围内具有公务员（含参照公务员法管理单位工作人员）、事业单位工作人员身份的，不宜作为引进对象。</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黑体" w:hAnsi="黑体" w:eastAsia="黑体" w:cs="黑体"/>
          <w:bCs/>
          <w:sz w:val="34"/>
          <w:szCs w:val="34"/>
        </w:rPr>
      </w:pPr>
      <w:r>
        <w:rPr>
          <w:rFonts w:ascii="黑体" w:hAnsi="黑体" w:eastAsia="黑体" w:cs="黑体"/>
          <w:bCs/>
          <w:sz w:val="34"/>
          <w:szCs w:val="34"/>
        </w:rPr>
        <w:t>三、录用待遇</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1.</w:t>
      </w:r>
      <w:r>
        <w:rPr>
          <w:rFonts w:ascii="Times New Roman" w:hAnsi="Times New Roman" w:eastAsia="仿宋_GB2312" w:cs="Times New Roman"/>
          <w:sz w:val="34"/>
          <w:szCs w:val="34"/>
        </w:rPr>
        <w:t>应聘者一经录用，列事业单位编制管理，实行聘用制，建立人才个人成长档案，签订聘用合同。工资福利待遇按照《事业单位人事管理条例》规定执行。</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2.</w:t>
      </w:r>
      <w:r>
        <w:rPr>
          <w:rFonts w:ascii="Times New Roman" w:hAnsi="Times New Roman" w:eastAsia="仿宋_GB2312" w:cs="Times New Roman"/>
          <w:sz w:val="34"/>
          <w:szCs w:val="34"/>
        </w:rPr>
        <w:t>按照人才层次享受《智汇常山》的相关政策。</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3.</w:t>
      </w:r>
      <w:r>
        <w:rPr>
          <w:rFonts w:ascii="Times New Roman" w:hAnsi="Times New Roman" w:eastAsia="仿宋_GB2312" w:cs="Times New Roman"/>
          <w:sz w:val="34"/>
          <w:szCs w:val="34"/>
        </w:rPr>
        <w:t>按照对口适岗、人尽其才的原则，引进人员在平台服务期原则上要求6个月，先安排在职能部门的经济管理、涉企服务等岗位工作，实行导师帮带，促进成长。服务期满后可根据工作表现、能力特长，确定调任单位和岗位，并办理调动手续。也可按与服务单位约定的某项工作、任务到期或实现后，另行安排岗位。</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黑体" w:hAnsi="黑体" w:eastAsia="黑体" w:cs="黑体"/>
          <w:bCs/>
          <w:sz w:val="34"/>
          <w:szCs w:val="34"/>
        </w:rPr>
      </w:pPr>
      <w:r>
        <w:rPr>
          <w:rFonts w:ascii="黑体" w:hAnsi="黑体" w:eastAsia="黑体" w:cs="黑体"/>
          <w:bCs/>
          <w:sz w:val="34"/>
          <w:szCs w:val="34"/>
        </w:rPr>
        <w:t>四、招聘程序</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坚持公开、平等、竞争、择优的原则，按照报名、资格审查、</w:t>
      </w:r>
      <w:r>
        <w:rPr>
          <w:rFonts w:hint="eastAsia" w:ascii="Times New Roman" w:hAnsi="Times New Roman" w:eastAsia="仿宋_GB2312" w:cs="Times New Roman"/>
          <w:sz w:val="34"/>
          <w:szCs w:val="34"/>
        </w:rPr>
        <w:t>综合比选</w:t>
      </w:r>
      <w:r>
        <w:rPr>
          <w:rFonts w:ascii="Times New Roman" w:hAnsi="Times New Roman" w:eastAsia="仿宋_GB2312" w:cs="Times New Roman"/>
          <w:sz w:val="34"/>
          <w:szCs w:val="34"/>
        </w:rPr>
        <w:t>、</w:t>
      </w:r>
      <w:r>
        <w:rPr>
          <w:rFonts w:hint="eastAsia" w:ascii="Times New Roman" w:hAnsi="Times New Roman" w:eastAsia="仿宋_GB2312" w:cs="Times New Roman"/>
          <w:sz w:val="34"/>
          <w:szCs w:val="34"/>
        </w:rPr>
        <w:t>面试面谈、</w:t>
      </w:r>
      <w:r>
        <w:rPr>
          <w:rFonts w:ascii="Times New Roman" w:hAnsi="Times New Roman" w:eastAsia="仿宋_GB2312" w:cs="Times New Roman"/>
          <w:sz w:val="34"/>
          <w:szCs w:val="34"/>
        </w:rPr>
        <w:t>体检、考核、公示、聘用等程序进行。</w:t>
      </w:r>
    </w:p>
    <w:p>
      <w:pPr>
        <w:keepNext w:val="0"/>
        <w:keepLines w:val="0"/>
        <w:pageBreakBefore w:val="0"/>
        <w:widowControl w:val="0"/>
        <w:kinsoku/>
        <w:wordWrap/>
        <w:overflowPunct/>
        <w:topLinePunct w:val="0"/>
        <w:autoSpaceDE/>
        <w:autoSpaceDN/>
        <w:bidi w:val="0"/>
        <w:adjustRightInd/>
        <w:snapToGrid/>
        <w:spacing w:line="570" w:lineRule="exact"/>
        <w:ind w:firstLine="683" w:firstLineChars="200"/>
        <w:textAlignment w:val="auto"/>
        <w:rPr>
          <w:rFonts w:ascii="楷体_GB2312" w:hAnsi="楷体_GB2312" w:eastAsia="楷体_GB2312" w:cs="楷体_GB2312"/>
          <w:b/>
          <w:bCs/>
          <w:sz w:val="34"/>
          <w:szCs w:val="34"/>
        </w:rPr>
      </w:pPr>
      <w:r>
        <w:rPr>
          <w:rFonts w:hint="eastAsia" w:ascii="楷体_GB2312" w:hAnsi="楷体_GB2312" w:eastAsia="楷体_GB2312" w:cs="楷体_GB2312"/>
          <w:b/>
          <w:bCs/>
          <w:sz w:val="34"/>
          <w:szCs w:val="34"/>
        </w:rPr>
        <w:t>1.</w:t>
      </w:r>
      <w:r>
        <w:rPr>
          <w:rFonts w:ascii="楷体_GB2312" w:hAnsi="楷体_GB2312" w:eastAsia="楷体_GB2312" w:cs="楷体_GB2312"/>
          <w:b/>
          <w:bCs/>
          <w:sz w:val="34"/>
          <w:szCs w:val="34"/>
        </w:rPr>
        <w:t>报名</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报名采取网上报名、现场报名两种形式。</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hint="eastAsia" w:ascii="Times New Roman" w:hAnsi="Times New Roman" w:eastAsia="仿宋_GB2312" w:cs="Times New Roman"/>
          <w:sz w:val="34"/>
          <w:szCs w:val="34"/>
        </w:rPr>
      </w:pPr>
      <w:r>
        <w:rPr>
          <w:rFonts w:hint="eastAsia" w:ascii="Times New Roman" w:hAnsi="Times New Roman" w:eastAsia="仿宋_GB2312" w:cs="Times New Roman"/>
          <w:sz w:val="34"/>
          <w:szCs w:val="34"/>
        </w:rPr>
        <w:t>（1）网上报名。报名者请下载填写《2021年常山县人才服务站公开招聘紧缺急需人才报名表》（附件</w:t>
      </w:r>
      <w:r>
        <w:rPr>
          <w:rFonts w:hint="eastAsia" w:ascii="Times New Roman" w:hAnsi="Times New Roman" w:eastAsia="仿宋_GB2312" w:cs="Times New Roman"/>
          <w:sz w:val="34"/>
          <w:szCs w:val="34"/>
          <w:lang w:val="en-US" w:eastAsia="zh-CN"/>
        </w:rPr>
        <w:t>2</w:t>
      </w:r>
      <w:r>
        <w:rPr>
          <w:rFonts w:hint="eastAsia" w:ascii="Times New Roman" w:hAnsi="Times New Roman" w:eastAsia="仿宋_GB2312" w:cs="Times New Roman"/>
          <w:sz w:val="34"/>
          <w:szCs w:val="34"/>
        </w:rPr>
        <w:t>），并将相关资料发送至：qzcssgk@163.com。报名时间</w:t>
      </w:r>
      <w:r>
        <w:rPr>
          <w:rFonts w:hint="eastAsia" w:ascii="Times New Roman" w:hAnsi="Times New Roman" w:eastAsia="仿宋_GB2312" w:cs="Times New Roman"/>
          <w:sz w:val="34"/>
          <w:szCs w:val="34"/>
          <w:lang w:val="en-US" w:eastAsia="zh-CN"/>
        </w:rPr>
        <w:t>3</w:t>
      </w:r>
      <w:r>
        <w:rPr>
          <w:rFonts w:hint="eastAsia" w:ascii="Times New Roman" w:hAnsi="Times New Roman" w:eastAsia="仿宋_GB2312" w:cs="Times New Roman"/>
          <w:sz w:val="34"/>
          <w:szCs w:val="34"/>
        </w:rPr>
        <w:t>月</w:t>
      </w:r>
      <w:r>
        <w:rPr>
          <w:rFonts w:hint="eastAsia" w:ascii="Times New Roman" w:hAnsi="Times New Roman" w:eastAsia="仿宋_GB2312" w:cs="Times New Roman"/>
          <w:sz w:val="34"/>
          <w:szCs w:val="34"/>
          <w:lang w:val="en-US" w:eastAsia="zh-CN"/>
        </w:rPr>
        <w:t>18</w:t>
      </w:r>
      <w:r>
        <w:rPr>
          <w:rFonts w:hint="eastAsia" w:ascii="Times New Roman" w:hAnsi="Times New Roman" w:eastAsia="仿宋_GB2312" w:cs="Times New Roman"/>
          <w:sz w:val="34"/>
          <w:szCs w:val="34"/>
        </w:rPr>
        <w:t>日—</w:t>
      </w:r>
      <w:r>
        <w:rPr>
          <w:rFonts w:hint="eastAsia" w:ascii="Times New Roman" w:hAnsi="Times New Roman" w:eastAsia="仿宋_GB2312" w:cs="Times New Roman"/>
          <w:sz w:val="34"/>
          <w:szCs w:val="34"/>
          <w:lang w:val="en-US" w:eastAsia="zh-CN"/>
        </w:rPr>
        <w:t>3</w:t>
      </w:r>
      <w:r>
        <w:rPr>
          <w:rFonts w:hint="eastAsia" w:ascii="Times New Roman" w:hAnsi="Times New Roman" w:eastAsia="仿宋_GB2312" w:cs="Times New Roman"/>
          <w:sz w:val="34"/>
          <w:szCs w:val="34"/>
        </w:rPr>
        <w:t>月</w:t>
      </w:r>
      <w:r>
        <w:rPr>
          <w:rFonts w:hint="eastAsia" w:ascii="Times New Roman" w:hAnsi="Times New Roman" w:eastAsia="仿宋_GB2312" w:cs="Times New Roman"/>
          <w:sz w:val="34"/>
          <w:szCs w:val="34"/>
          <w:lang w:val="en-US" w:eastAsia="zh-CN"/>
        </w:rPr>
        <w:t>31</w:t>
      </w:r>
      <w:r>
        <w:rPr>
          <w:rFonts w:hint="eastAsia" w:ascii="Times New Roman" w:hAnsi="Times New Roman" w:eastAsia="仿宋_GB2312" w:cs="Times New Roman"/>
          <w:sz w:val="34"/>
          <w:szCs w:val="34"/>
        </w:rPr>
        <w:t>日。</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（2）现场报名。由县委组织部、县人力社保局到相关高校组织开展，具体时间地点见公告通知。</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w:t>
      </w:r>
      <w:r>
        <w:rPr>
          <w:rFonts w:hint="eastAsia" w:ascii="Times New Roman" w:hAnsi="Times New Roman" w:eastAsia="仿宋_GB2312" w:cs="Times New Roman"/>
          <w:sz w:val="34"/>
          <w:szCs w:val="34"/>
        </w:rPr>
        <w:t>3</w:t>
      </w:r>
      <w:r>
        <w:rPr>
          <w:rFonts w:ascii="Times New Roman" w:hAnsi="Times New Roman" w:eastAsia="仿宋_GB2312" w:cs="Times New Roman"/>
          <w:sz w:val="34"/>
          <w:szCs w:val="34"/>
        </w:rPr>
        <w:t>）报名者需提供相关资料：身份证，就业协议书、就业推荐表、学校出具的学历学位证明</w:t>
      </w:r>
      <w:r>
        <w:rPr>
          <w:rFonts w:hint="eastAsia" w:ascii="Times New Roman" w:hAnsi="Times New Roman" w:eastAsia="仿宋_GB2312" w:cs="Times New Roman"/>
          <w:sz w:val="34"/>
          <w:szCs w:val="34"/>
        </w:rPr>
        <w:t>（要求同时提供《教育部学籍在线验证报告》或《教育部学历证书电子注册备案表》）</w:t>
      </w:r>
      <w:r>
        <w:rPr>
          <w:rFonts w:ascii="Times New Roman" w:hAnsi="Times New Roman" w:eastAsia="仿宋_GB2312" w:cs="Times New Roman"/>
          <w:sz w:val="34"/>
          <w:szCs w:val="34"/>
        </w:rPr>
        <w:t>、党员（预备党员）证明，普通话等级证，英语等级证，计算机等级证，各类获奖和荣誉证书，学校出具并盖章的学业成绩表等，研究生还需提供本科学历学位毕业证书以及其它能证明个人相关能力水平的证书或材料。</w:t>
      </w:r>
    </w:p>
    <w:p>
      <w:pPr>
        <w:keepNext w:val="0"/>
        <w:keepLines w:val="0"/>
        <w:pageBreakBefore w:val="0"/>
        <w:widowControl w:val="0"/>
        <w:kinsoku/>
        <w:wordWrap/>
        <w:overflowPunct/>
        <w:topLinePunct w:val="0"/>
        <w:autoSpaceDE/>
        <w:autoSpaceDN/>
        <w:bidi w:val="0"/>
        <w:adjustRightInd/>
        <w:snapToGrid/>
        <w:spacing w:line="570" w:lineRule="exact"/>
        <w:ind w:firstLine="683" w:firstLineChars="200"/>
        <w:textAlignment w:val="auto"/>
        <w:rPr>
          <w:rFonts w:ascii="楷体_GB2312" w:hAnsi="楷体_GB2312" w:eastAsia="楷体_GB2312" w:cs="楷体_GB2312"/>
          <w:b/>
          <w:bCs/>
          <w:sz w:val="34"/>
          <w:szCs w:val="34"/>
        </w:rPr>
      </w:pPr>
      <w:r>
        <w:rPr>
          <w:rFonts w:hint="eastAsia" w:ascii="楷体_GB2312" w:hAnsi="楷体_GB2312" w:eastAsia="楷体_GB2312" w:cs="楷体_GB2312"/>
          <w:b/>
          <w:bCs/>
          <w:sz w:val="34"/>
          <w:szCs w:val="34"/>
        </w:rPr>
        <w:t>2.</w:t>
      </w:r>
      <w:r>
        <w:rPr>
          <w:rFonts w:ascii="楷体_GB2312" w:hAnsi="楷体_GB2312" w:eastAsia="楷体_GB2312" w:cs="楷体_GB2312"/>
          <w:b/>
          <w:bCs/>
          <w:sz w:val="34"/>
          <w:szCs w:val="34"/>
        </w:rPr>
        <w:t>资格审查</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由组织人事部门对报考者的资格条件进行审查，报考者提供的资料必须真实可靠，如有弄虚作假、材料不实，一律取消聘用资格。</w:t>
      </w:r>
    </w:p>
    <w:p>
      <w:pPr>
        <w:keepNext w:val="0"/>
        <w:keepLines w:val="0"/>
        <w:pageBreakBefore w:val="0"/>
        <w:widowControl w:val="0"/>
        <w:kinsoku/>
        <w:wordWrap/>
        <w:overflowPunct/>
        <w:topLinePunct w:val="0"/>
        <w:autoSpaceDE/>
        <w:autoSpaceDN/>
        <w:bidi w:val="0"/>
        <w:adjustRightInd/>
        <w:snapToGrid/>
        <w:spacing w:line="570" w:lineRule="exact"/>
        <w:ind w:firstLine="683" w:firstLineChars="200"/>
        <w:textAlignment w:val="auto"/>
        <w:rPr>
          <w:rFonts w:ascii="楷体_GB2312" w:hAnsi="楷体_GB2312" w:eastAsia="楷体_GB2312" w:cs="楷体_GB2312"/>
          <w:b/>
          <w:bCs/>
          <w:sz w:val="34"/>
          <w:szCs w:val="34"/>
        </w:rPr>
      </w:pPr>
      <w:r>
        <w:rPr>
          <w:rFonts w:hint="eastAsia" w:ascii="楷体_GB2312" w:hAnsi="楷体_GB2312" w:eastAsia="楷体_GB2312" w:cs="楷体_GB2312"/>
          <w:b/>
          <w:bCs/>
          <w:sz w:val="34"/>
          <w:szCs w:val="34"/>
        </w:rPr>
        <w:t>3.综合比选</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由组织人事部门对报考者的资格条件进行审查，确定比选对象</w:t>
      </w:r>
      <w:r>
        <w:rPr>
          <w:rFonts w:hint="eastAsia" w:ascii="Times New Roman" w:hAnsi="Times New Roman" w:eastAsia="仿宋_GB2312" w:cs="Times New Roman"/>
          <w:sz w:val="34"/>
          <w:szCs w:val="34"/>
        </w:rPr>
        <w:t>后，</w:t>
      </w:r>
      <w:r>
        <w:rPr>
          <w:rFonts w:ascii="Times New Roman" w:hAnsi="Times New Roman" w:eastAsia="仿宋_GB2312" w:cs="Times New Roman"/>
          <w:sz w:val="34"/>
          <w:szCs w:val="34"/>
        </w:rPr>
        <w:t>根据学历学位、政治面貌、社团活动、学习成绩、荣誉奖项等情况，对通过资格审核的人选开展量化评比</w:t>
      </w:r>
      <w:r>
        <w:rPr>
          <w:rFonts w:hint="eastAsia" w:ascii="Times New Roman" w:hAnsi="Times New Roman" w:eastAsia="仿宋_GB2312" w:cs="Times New Roman"/>
          <w:sz w:val="34"/>
          <w:szCs w:val="34"/>
        </w:rPr>
        <w:t>，按1:3比例筛选入围面试面谈人员</w:t>
      </w:r>
      <w:r>
        <w:rPr>
          <w:rFonts w:ascii="Times New Roman" w:hAnsi="Times New Roman" w:eastAsia="仿宋_GB2312" w:cs="Times New Roman"/>
          <w:sz w:val="34"/>
          <w:szCs w:val="34"/>
        </w:rPr>
        <w:t>。</w:t>
      </w:r>
      <w:r>
        <w:rPr>
          <w:rFonts w:hint="eastAsia" w:ascii="Times New Roman" w:hAnsi="Times New Roman" w:eastAsia="仿宋_GB2312" w:cs="Times New Roman"/>
          <w:sz w:val="34"/>
          <w:szCs w:val="34"/>
        </w:rPr>
        <w:t>若应聘人员较多或者综合比选择优困难，可经笔试并按笔试成绩从高到低确定入围面试面谈对象。</w:t>
      </w:r>
    </w:p>
    <w:p>
      <w:pPr>
        <w:keepNext w:val="0"/>
        <w:keepLines w:val="0"/>
        <w:pageBreakBefore w:val="0"/>
        <w:widowControl w:val="0"/>
        <w:kinsoku/>
        <w:wordWrap/>
        <w:overflowPunct/>
        <w:topLinePunct w:val="0"/>
        <w:autoSpaceDE/>
        <w:autoSpaceDN/>
        <w:bidi w:val="0"/>
        <w:adjustRightInd/>
        <w:snapToGrid/>
        <w:spacing w:line="570" w:lineRule="exact"/>
        <w:ind w:firstLine="683" w:firstLineChars="200"/>
        <w:textAlignment w:val="auto"/>
        <w:rPr>
          <w:rFonts w:ascii="楷体_GB2312" w:hAnsi="楷体_GB2312" w:eastAsia="楷体_GB2312" w:cs="楷体_GB2312"/>
          <w:b/>
          <w:bCs/>
          <w:sz w:val="34"/>
          <w:szCs w:val="34"/>
        </w:rPr>
      </w:pPr>
      <w:r>
        <w:rPr>
          <w:rFonts w:hint="eastAsia" w:ascii="楷体_GB2312" w:hAnsi="楷体_GB2312" w:eastAsia="楷体_GB2312" w:cs="楷体_GB2312"/>
          <w:b/>
          <w:bCs/>
          <w:sz w:val="34"/>
          <w:szCs w:val="34"/>
        </w:rPr>
        <w:t>4.面试面谈</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组织入围对象进行面试面谈，具体了解综合素质、专业素养、岗位匹配度、素质潜能等方面的表现（具体形式、时间、地点以电话或短信通知）。</w:t>
      </w:r>
    </w:p>
    <w:p>
      <w:pPr>
        <w:keepNext w:val="0"/>
        <w:keepLines w:val="0"/>
        <w:pageBreakBefore w:val="0"/>
        <w:widowControl w:val="0"/>
        <w:kinsoku/>
        <w:wordWrap/>
        <w:overflowPunct/>
        <w:topLinePunct w:val="0"/>
        <w:autoSpaceDE/>
        <w:autoSpaceDN/>
        <w:bidi w:val="0"/>
        <w:adjustRightInd/>
        <w:snapToGrid/>
        <w:spacing w:line="570" w:lineRule="exact"/>
        <w:ind w:firstLine="683" w:firstLineChars="200"/>
        <w:textAlignment w:val="auto"/>
        <w:rPr>
          <w:rFonts w:ascii="楷体_GB2312" w:hAnsi="楷体_GB2312" w:eastAsia="楷体_GB2312" w:cs="楷体_GB2312"/>
          <w:b/>
          <w:bCs/>
          <w:sz w:val="34"/>
          <w:szCs w:val="34"/>
        </w:rPr>
      </w:pPr>
      <w:r>
        <w:rPr>
          <w:rFonts w:hint="eastAsia" w:ascii="楷体_GB2312" w:hAnsi="楷体_GB2312" w:eastAsia="楷体_GB2312" w:cs="楷体_GB2312"/>
          <w:b/>
          <w:bCs/>
          <w:sz w:val="34"/>
          <w:szCs w:val="34"/>
        </w:rPr>
        <w:t>5.</w:t>
      </w:r>
      <w:r>
        <w:rPr>
          <w:rFonts w:ascii="楷体_GB2312" w:hAnsi="楷体_GB2312" w:eastAsia="楷体_GB2312" w:cs="楷体_GB2312"/>
          <w:b/>
          <w:bCs/>
          <w:sz w:val="34"/>
          <w:szCs w:val="34"/>
        </w:rPr>
        <w:t>体检</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按招聘岗位</w:t>
      </w:r>
      <w:r>
        <w:rPr>
          <w:rFonts w:hint="eastAsia" w:ascii="Times New Roman" w:hAnsi="Times New Roman" w:eastAsia="仿宋_GB2312" w:cs="Times New Roman"/>
          <w:sz w:val="34"/>
          <w:szCs w:val="34"/>
        </w:rPr>
        <w:t>1:1</w:t>
      </w:r>
      <w:r>
        <w:rPr>
          <w:rFonts w:ascii="Times New Roman" w:hAnsi="Times New Roman" w:eastAsia="仿宋_GB2312" w:cs="Times New Roman"/>
          <w:sz w:val="34"/>
          <w:szCs w:val="34"/>
        </w:rPr>
        <w:t>比例组织应聘对象进行体检。体检工作按人社部、国家卫计委、国家公务员局《关于修订〈公务员录用体检通用标准（试行）〉及〈公务员录用体检操作手册（试行）〉有关内容的通知》（人社部发〔2016〕140号）政策执行。</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拟聘用人员不按规定的时间、地点参加体检，视作放弃体检。</w:t>
      </w:r>
    </w:p>
    <w:p>
      <w:pPr>
        <w:keepNext w:val="0"/>
        <w:keepLines w:val="0"/>
        <w:pageBreakBefore w:val="0"/>
        <w:widowControl w:val="0"/>
        <w:kinsoku/>
        <w:wordWrap/>
        <w:overflowPunct/>
        <w:topLinePunct w:val="0"/>
        <w:autoSpaceDE/>
        <w:autoSpaceDN/>
        <w:bidi w:val="0"/>
        <w:adjustRightInd/>
        <w:snapToGrid/>
        <w:spacing w:line="570" w:lineRule="exact"/>
        <w:ind w:firstLine="683" w:firstLineChars="200"/>
        <w:textAlignment w:val="auto"/>
        <w:rPr>
          <w:rFonts w:ascii="楷体_GB2312" w:hAnsi="楷体_GB2312" w:eastAsia="楷体_GB2312" w:cs="楷体_GB2312"/>
          <w:b/>
          <w:bCs/>
          <w:sz w:val="34"/>
          <w:szCs w:val="34"/>
        </w:rPr>
      </w:pPr>
      <w:r>
        <w:rPr>
          <w:rFonts w:hint="eastAsia" w:ascii="楷体_GB2312" w:hAnsi="楷体_GB2312" w:eastAsia="楷体_GB2312" w:cs="楷体_GB2312"/>
          <w:b/>
          <w:bCs/>
          <w:sz w:val="34"/>
          <w:szCs w:val="34"/>
        </w:rPr>
        <w:t>6.</w:t>
      </w:r>
      <w:r>
        <w:rPr>
          <w:rFonts w:ascii="楷体_GB2312" w:hAnsi="楷体_GB2312" w:eastAsia="楷体_GB2312" w:cs="楷体_GB2312"/>
          <w:b/>
          <w:bCs/>
          <w:sz w:val="34"/>
          <w:szCs w:val="34"/>
        </w:rPr>
        <w:t>考察</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按招聘岗位</w:t>
      </w:r>
      <w:r>
        <w:rPr>
          <w:rFonts w:hint="eastAsia" w:ascii="Times New Roman" w:hAnsi="Times New Roman" w:eastAsia="仿宋_GB2312" w:cs="Times New Roman"/>
          <w:sz w:val="34"/>
          <w:szCs w:val="34"/>
        </w:rPr>
        <w:t>1:1</w:t>
      </w:r>
      <w:r>
        <w:rPr>
          <w:rFonts w:ascii="Times New Roman" w:hAnsi="Times New Roman" w:eastAsia="仿宋_GB2312" w:cs="Times New Roman"/>
          <w:sz w:val="34"/>
          <w:szCs w:val="34"/>
        </w:rPr>
        <w:t>比例组织进行考察，考察由组织人事部门会同用人单位参照《关于做好公务员录用考察工作的通知》（国公局发〔2013〕2号）组织实施。</w:t>
      </w:r>
    </w:p>
    <w:p>
      <w:pPr>
        <w:keepNext w:val="0"/>
        <w:keepLines w:val="0"/>
        <w:pageBreakBefore w:val="0"/>
        <w:widowControl w:val="0"/>
        <w:kinsoku/>
        <w:wordWrap/>
        <w:overflowPunct/>
        <w:topLinePunct w:val="0"/>
        <w:autoSpaceDE/>
        <w:autoSpaceDN/>
        <w:bidi w:val="0"/>
        <w:adjustRightInd/>
        <w:snapToGrid/>
        <w:spacing w:line="570" w:lineRule="exact"/>
        <w:ind w:firstLine="683" w:firstLineChars="200"/>
        <w:textAlignment w:val="auto"/>
        <w:rPr>
          <w:rFonts w:ascii="楷体_GB2312" w:hAnsi="楷体_GB2312" w:eastAsia="楷体_GB2312" w:cs="楷体_GB2312"/>
          <w:b/>
          <w:bCs/>
          <w:sz w:val="34"/>
          <w:szCs w:val="34"/>
        </w:rPr>
      </w:pPr>
      <w:r>
        <w:rPr>
          <w:rFonts w:hint="eastAsia" w:ascii="楷体_GB2312" w:hAnsi="楷体_GB2312" w:eastAsia="楷体_GB2312" w:cs="楷体_GB2312"/>
          <w:b/>
          <w:bCs/>
          <w:sz w:val="34"/>
          <w:szCs w:val="34"/>
        </w:rPr>
        <w:t>7.</w:t>
      </w:r>
      <w:r>
        <w:rPr>
          <w:rFonts w:ascii="楷体_GB2312" w:hAnsi="楷体_GB2312" w:eastAsia="楷体_GB2312" w:cs="楷体_GB2312"/>
          <w:b/>
          <w:bCs/>
          <w:sz w:val="34"/>
          <w:szCs w:val="34"/>
        </w:rPr>
        <w:t>公示、聘用</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拟聘用人员在常山县政府网公示7</w:t>
      </w:r>
      <w:r>
        <w:rPr>
          <w:rFonts w:hint="eastAsia" w:ascii="Times New Roman" w:hAnsi="Times New Roman" w:eastAsia="仿宋_GB2312" w:cs="Times New Roman"/>
          <w:sz w:val="34"/>
          <w:szCs w:val="34"/>
          <w:lang w:eastAsia="zh-CN"/>
        </w:rPr>
        <w:t>个工作日</w:t>
      </w:r>
      <w:r>
        <w:rPr>
          <w:rFonts w:ascii="Times New Roman" w:hAnsi="Times New Roman" w:eastAsia="仿宋_GB2312" w:cs="Times New Roman"/>
          <w:sz w:val="34"/>
          <w:szCs w:val="34"/>
        </w:rPr>
        <w:t>。</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公示期满后，对拟聘用人员没有异议或反映有问题经查实不影响聘用的，按规定办理相关手续。对反映有影响聘用问题并查有实据的，不予聘用；对反映的问题一时难以查实的，将暂缓聘用，待查清后再决定是否聘用。</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报考人员放弃签约、放弃体检或体检不合格、放弃考核或考核不合格、不能在规定时间提供报考所需相关证明文件及其他材料，取消聘用资格。</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因放弃聘用或被取消聘用资格出现的人员空缺是否递补，由组织人事部门根据实际情况研究决定。</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黑体" w:hAnsi="黑体" w:eastAsia="黑体" w:cs="黑体"/>
          <w:bCs/>
          <w:sz w:val="34"/>
          <w:szCs w:val="34"/>
        </w:rPr>
      </w:pPr>
      <w:r>
        <w:rPr>
          <w:rFonts w:ascii="黑体" w:hAnsi="黑体" w:eastAsia="黑体" w:cs="黑体"/>
          <w:bCs/>
          <w:sz w:val="34"/>
          <w:szCs w:val="34"/>
        </w:rPr>
        <w:t>五、其他事项</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1.</w:t>
      </w:r>
      <w:r>
        <w:rPr>
          <w:rFonts w:ascii="Times New Roman" w:hAnsi="Times New Roman" w:eastAsia="仿宋_GB2312" w:cs="Times New Roman"/>
          <w:sz w:val="34"/>
          <w:szCs w:val="34"/>
        </w:rPr>
        <w:t>本次公开招聘工作，在纪检(监察)部门全程监督下由组织人事部门组织实施。</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2.本次高层次紧缺人才引进各岗位所列的学历专业范围根据招聘岗位特点，参照教育部、2021年浙江省公务员考试专业目录进行设定。部分专业涉及名称更改的，新旧专业可认定为同一专业。</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3.</w:t>
      </w:r>
      <w:r>
        <w:rPr>
          <w:rFonts w:ascii="Times New Roman" w:hAnsi="Times New Roman" w:eastAsia="仿宋_GB2312" w:cs="Times New Roman"/>
          <w:sz w:val="34"/>
          <w:szCs w:val="34"/>
        </w:rPr>
        <w:t>在招聘过程中，因报名情况、生源质量等原因出现空岗情况，招聘单位有权对招聘计划作出调整。</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ascii="Times New Roman" w:hAnsi="Times New Roman" w:eastAsia="仿宋_GB2312" w:cs="Times New Roman"/>
          <w:sz w:val="34"/>
          <w:szCs w:val="34"/>
        </w:rPr>
        <w:t>联系方式：常山县人力社保局（</w:t>
      </w:r>
      <w:r>
        <w:rPr>
          <w:rFonts w:hint="eastAsia" w:ascii="Times New Roman" w:hAnsi="Times New Roman" w:eastAsia="仿宋_GB2312" w:cs="Times New Roman"/>
          <w:sz w:val="34"/>
          <w:szCs w:val="34"/>
        </w:rPr>
        <w:t>张先生</w:t>
      </w:r>
      <w:r>
        <w:rPr>
          <w:rFonts w:ascii="Times New Roman" w:hAnsi="Times New Roman" w:eastAsia="仿宋_GB2312" w:cs="Times New Roman"/>
          <w:sz w:val="34"/>
          <w:szCs w:val="34"/>
        </w:rPr>
        <w:t>）  0570-</w:t>
      </w:r>
      <w:r>
        <w:rPr>
          <w:rFonts w:hint="eastAsia" w:ascii="Times New Roman" w:hAnsi="Times New Roman" w:eastAsia="仿宋_GB2312" w:cs="Times New Roman"/>
          <w:sz w:val="34"/>
          <w:szCs w:val="34"/>
        </w:rPr>
        <w:t>5021874</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r>
        <w:rPr>
          <w:rFonts w:hint="eastAsia" w:ascii="Times New Roman" w:hAnsi="Times New Roman" w:eastAsia="仿宋_GB2312" w:cs="Times New Roman"/>
          <w:sz w:val="34"/>
          <w:szCs w:val="34"/>
        </w:rPr>
        <w:t>中共常山县委组织部</w:t>
      </w:r>
      <w:r>
        <w:rPr>
          <w:rFonts w:ascii="Times New Roman" w:hAnsi="Times New Roman" w:eastAsia="仿宋_GB2312" w:cs="Times New Roman"/>
          <w:sz w:val="34"/>
          <w:szCs w:val="34"/>
        </w:rPr>
        <w:t xml:space="preserve"> （胡先生）  0570-5016142</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ascii="Times New Roman" w:hAnsi="Times New Roman" w:eastAsia="仿宋_GB2312" w:cs="Times New Roman"/>
          <w:sz w:val="34"/>
          <w:szCs w:val="3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textAlignment w:val="auto"/>
        <w:rPr>
          <w:rFonts w:hint="eastAsia" w:ascii="Times New Roman" w:hAnsi="Times New Roman" w:eastAsia="仿宋_GB2312" w:cs="Times New Roman"/>
          <w:sz w:val="34"/>
          <w:szCs w:val="34"/>
          <w:lang w:eastAsia="zh-CN"/>
        </w:rPr>
      </w:pPr>
      <w:r>
        <w:rPr>
          <w:rFonts w:hint="eastAsia" w:ascii="Times New Roman" w:hAnsi="Times New Roman" w:eastAsia="仿宋_GB2312" w:cs="Times New Roman"/>
          <w:sz w:val="34"/>
          <w:szCs w:val="34"/>
          <w:lang w:eastAsia="zh-CN"/>
        </w:rPr>
        <w:t>附件：</w:t>
      </w:r>
      <w:r>
        <w:rPr>
          <w:rFonts w:hint="eastAsia" w:ascii="Times New Roman" w:hAnsi="Times New Roman" w:eastAsia="仿宋_GB2312" w:cs="Times New Roman"/>
          <w:sz w:val="34"/>
          <w:szCs w:val="34"/>
          <w:lang w:val="en-US" w:eastAsia="zh-CN"/>
        </w:rPr>
        <w:t>1.</w:t>
      </w:r>
      <w:r>
        <w:rPr>
          <w:rFonts w:hint="eastAsia" w:ascii="Times New Roman" w:hAnsi="Times New Roman" w:eastAsia="仿宋_GB2312" w:cs="Times New Roman"/>
          <w:sz w:val="34"/>
          <w:szCs w:val="34"/>
          <w:lang w:eastAsia="zh-CN"/>
        </w:rPr>
        <w:t>2021年常山县英才荟人才招引计划表（第一期）</w:t>
      </w:r>
    </w:p>
    <w:p>
      <w:pPr>
        <w:keepNext w:val="0"/>
        <w:keepLines w:val="0"/>
        <w:pageBreakBefore w:val="0"/>
        <w:widowControl w:val="0"/>
        <w:kinsoku/>
        <w:wordWrap/>
        <w:overflowPunct/>
        <w:topLinePunct w:val="0"/>
        <w:autoSpaceDE/>
        <w:autoSpaceDN/>
        <w:bidi w:val="0"/>
        <w:adjustRightInd/>
        <w:snapToGrid/>
        <w:spacing w:line="570" w:lineRule="exact"/>
        <w:ind w:left="1700" w:hanging="1700" w:hangingChars="500"/>
        <w:textAlignment w:val="auto"/>
        <w:rPr>
          <w:rFonts w:hint="default" w:ascii="Times New Roman" w:hAnsi="Times New Roman" w:eastAsia="仿宋_GB2312" w:cs="Times New Roman"/>
          <w:sz w:val="34"/>
          <w:szCs w:val="34"/>
          <w:lang w:val="en-US" w:eastAsia="zh-CN"/>
        </w:rPr>
      </w:pPr>
      <w:r>
        <w:rPr>
          <w:rFonts w:hint="eastAsia"/>
          <w:sz w:val="34"/>
          <w:szCs w:val="34"/>
          <w:lang w:val="en-US" w:eastAsia="zh-CN"/>
        </w:rPr>
        <w:t xml:space="preserve">       </w:t>
      </w:r>
      <w:r>
        <w:rPr>
          <w:rFonts w:hint="eastAsia" w:ascii="Times New Roman" w:hAnsi="Times New Roman" w:eastAsia="仿宋_GB2312" w:cs="Times New Roman"/>
          <w:sz w:val="34"/>
          <w:szCs w:val="34"/>
          <w:lang w:val="en-US" w:eastAsia="zh-CN"/>
        </w:rPr>
        <w:t xml:space="preserve">   2.2021年常山县人才服务站公开招聘紧缺急需人才报名表</w:t>
      </w:r>
    </w:p>
    <w:p>
      <w:pPr>
        <w:keepNext w:val="0"/>
        <w:keepLines w:val="0"/>
        <w:pageBreakBefore w:val="0"/>
        <w:widowControl w:val="0"/>
        <w:kinsoku/>
        <w:wordWrap/>
        <w:overflowPunct/>
        <w:topLinePunct w:val="0"/>
        <w:autoSpaceDE/>
        <w:autoSpaceDN/>
        <w:bidi w:val="0"/>
        <w:adjustRightInd/>
        <w:snapToGrid/>
        <w:spacing w:line="570" w:lineRule="exact"/>
        <w:textAlignment w:val="auto"/>
        <w:rPr>
          <w:sz w:val="34"/>
          <w:szCs w:val="34"/>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sz w:val="34"/>
          <w:szCs w:val="34"/>
        </w:rPr>
      </w:pPr>
    </w:p>
    <w:p>
      <w:pPr>
        <w:keepNext w:val="0"/>
        <w:keepLines w:val="0"/>
        <w:pageBreakBefore w:val="0"/>
        <w:widowControl w:val="0"/>
        <w:kinsoku/>
        <w:wordWrap/>
        <w:overflowPunct/>
        <w:topLinePunct w:val="0"/>
        <w:autoSpaceDE/>
        <w:autoSpaceDN/>
        <w:bidi w:val="0"/>
        <w:adjustRightInd/>
        <w:snapToGrid/>
        <w:spacing w:line="570" w:lineRule="exact"/>
        <w:jc w:val="right"/>
        <w:textAlignment w:val="auto"/>
        <w:rPr>
          <w:rFonts w:ascii="仿宋_GB2312" w:hAnsi="仿宋_GB2312" w:eastAsia="仿宋_GB2312" w:cs="仿宋_GB2312"/>
          <w:sz w:val="34"/>
          <w:szCs w:val="34"/>
        </w:rPr>
      </w:pPr>
      <w:r>
        <w:rPr>
          <w:rFonts w:hint="eastAsia" w:ascii="仿宋_GB2312" w:hAnsi="仿宋_GB2312" w:eastAsia="仿宋_GB2312" w:cs="仿宋_GB2312"/>
          <w:sz w:val="34"/>
          <w:szCs w:val="34"/>
        </w:rPr>
        <w:t>常山县人力资源和社会保障局</w:t>
      </w:r>
    </w:p>
    <w:p>
      <w:pPr>
        <w:keepNext w:val="0"/>
        <w:keepLines w:val="0"/>
        <w:pageBreakBefore w:val="0"/>
        <w:widowControl w:val="0"/>
        <w:kinsoku/>
        <w:wordWrap/>
        <w:overflowPunct/>
        <w:topLinePunct w:val="0"/>
        <w:autoSpaceDE/>
        <w:autoSpaceDN/>
        <w:bidi w:val="0"/>
        <w:adjustRightInd/>
        <w:snapToGrid/>
        <w:spacing w:line="570" w:lineRule="exact"/>
        <w:jc w:val="right"/>
        <w:textAlignment w:val="auto"/>
        <w:rPr>
          <w:rFonts w:hint="eastAsia" w:ascii="仿宋_GB2312" w:hAnsi="仿宋_GB2312" w:eastAsia="仿宋_GB2312" w:cs="仿宋_GB2312"/>
          <w:sz w:val="34"/>
          <w:szCs w:val="34"/>
        </w:rPr>
      </w:pPr>
      <w:r>
        <w:rPr>
          <w:rFonts w:hint="eastAsia" w:ascii="仿宋_GB2312" w:hAnsi="仿宋_GB2312" w:eastAsia="仿宋_GB2312" w:cs="仿宋_GB2312"/>
          <w:sz w:val="34"/>
          <w:szCs w:val="34"/>
        </w:rPr>
        <w:t>2021年</w:t>
      </w:r>
      <w:r>
        <w:rPr>
          <w:rFonts w:hint="eastAsia" w:ascii="仿宋_GB2312" w:hAnsi="仿宋_GB2312" w:eastAsia="仿宋_GB2312" w:cs="仿宋_GB2312"/>
          <w:sz w:val="34"/>
          <w:szCs w:val="34"/>
          <w:lang w:val="en-US" w:eastAsia="zh-CN"/>
        </w:rPr>
        <w:t>3</w:t>
      </w:r>
      <w:r>
        <w:rPr>
          <w:rFonts w:hint="eastAsia" w:ascii="仿宋_GB2312" w:hAnsi="仿宋_GB2312" w:eastAsia="仿宋_GB2312" w:cs="仿宋_GB2312"/>
          <w:sz w:val="34"/>
          <w:szCs w:val="34"/>
        </w:rPr>
        <w:t>月</w:t>
      </w:r>
      <w:r>
        <w:rPr>
          <w:rFonts w:hint="eastAsia" w:ascii="仿宋_GB2312" w:hAnsi="仿宋_GB2312" w:eastAsia="仿宋_GB2312" w:cs="仿宋_GB2312"/>
          <w:sz w:val="34"/>
          <w:szCs w:val="34"/>
          <w:lang w:val="en-US" w:eastAsia="zh-CN"/>
        </w:rPr>
        <w:t>8</w:t>
      </w:r>
      <w:r>
        <w:rPr>
          <w:rFonts w:hint="eastAsia" w:ascii="仿宋_GB2312" w:hAnsi="仿宋_GB2312" w:eastAsia="仿宋_GB2312" w:cs="仿宋_GB2312"/>
          <w:sz w:val="34"/>
          <w:szCs w:val="34"/>
        </w:rPr>
        <w:t xml:space="preserve"> 日</w:t>
      </w:r>
    </w:p>
    <w:p>
      <w:pPr>
        <w:keepNext w:val="0"/>
        <w:keepLines w:val="0"/>
        <w:pageBreakBefore w:val="0"/>
        <w:widowControl w:val="0"/>
        <w:kinsoku/>
        <w:wordWrap/>
        <w:overflowPunct/>
        <w:topLinePunct w:val="0"/>
        <w:autoSpaceDE/>
        <w:autoSpaceDN/>
        <w:bidi w:val="0"/>
        <w:adjustRightInd/>
        <w:snapToGrid/>
        <w:spacing w:line="570" w:lineRule="exact"/>
        <w:textAlignment w:val="auto"/>
        <w:rPr>
          <w:sz w:val="34"/>
          <w:szCs w:val="34"/>
        </w:rPr>
      </w:pPr>
      <w:r>
        <w:rPr>
          <w:sz w:val="34"/>
          <w:szCs w:val="34"/>
        </w:rPr>
        <w:br w:type="page"/>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仿宋_GB2312" w:cs="Times New Roman"/>
          <w:sz w:val="34"/>
          <w:szCs w:val="34"/>
          <w:lang w:eastAsia="zh-CN"/>
        </w:rPr>
      </w:pPr>
      <w:r>
        <w:rPr>
          <w:rFonts w:hint="eastAsia" w:ascii="Times New Roman" w:hAnsi="Times New Roman" w:eastAsia="仿宋_GB2312" w:cs="Times New Roman"/>
          <w:sz w:val="34"/>
          <w:szCs w:val="34"/>
          <w:lang w:eastAsia="zh-CN"/>
        </w:rPr>
        <w:t>附件</w:t>
      </w:r>
      <w:r>
        <w:rPr>
          <w:rFonts w:hint="eastAsia" w:ascii="Times New Roman" w:hAnsi="Times New Roman" w:eastAsia="仿宋_GB2312" w:cs="Times New Roman"/>
          <w:sz w:val="34"/>
          <w:szCs w:val="34"/>
          <w:lang w:val="en-US" w:eastAsia="zh-CN"/>
        </w:rPr>
        <w:t>1</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仿宋_GB2312" w:cs="Times New Roman"/>
          <w:sz w:val="34"/>
          <w:szCs w:val="34"/>
          <w:lang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w:t>
      </w:r>
      <w:r>
        <w:rPr>
          <w:rFonts w:hint="eastAsia" w:ascii="Times New Roman" w:hAnsi="Times New Roman" w:eastAsia="方正小标宋简体" w:cs="Times New Roman"/>
          <w:sz w:val="44"/>
          <w:szCs w:val="44"/>
        </w:rPr>
        <w:t>1</w:t>
      </w:r>
      <w:r>
        <w:rPr>
          <w:rFonts w:ascii="Times New Roman" w:hAnsi="Times New Roman" w:eastAsia="方正小标宋简体" w:cs="Times New Roman"/>
          <w:sz w:val="44"/>
          <w:szCs w:val="44"/>
        </w:rPr>
        <w:t>年常山县英才荟人才招引计划表</w:t>
      </w:r>
    </w:p>
    <w:p>
      <w:pPr>
        <w:keepNext w:val="0"/>
        <w:keepLines w:val="0"/>
        <w:pageBreakBefore w:val="0"/>
        <w:widowControl w:val="0"/>
        <w:kinsoku/>
        <w:wordWrap/>
        <w:overflowPunct/>
        <w:topLinePunct w:val="0"/>
        <w:autoSpaceDE/>
        <w:autoSpaceDN/>
        <w:bidi w:val="0"/>
        <w:adjustRightInd/>
        <w:snapToGrid/>
        <w:spacing w:line="570" w:lineRule="exact"/>
        <w:ind w:firstLine="3520" w:firstLineChars="800"/>
        <w:textAlignment w:val="auto"/>
        <w:rPr>
          <w:rFonts w:ascii="Times New Roman" w:hAnsi="Times New Roman" w:eastAsia="仿宋_GB2312" w:cs="Times New Roman"/>
          <w:sz w:val="32"/>
          <w:szCs w:val="32"/>
        </w:rPr>
      </w:pPr>
      <w:r>
        <w:rPr>
          <w:rFonts w:ascii="Times New Roman" w:hAnsi="Times New Roman" w:eastAsia="方正小标宋简体" w:cs="Times New Roman"/>
          <w:sz w:val="44"/>
          <w:szCs w:val="44"/>
        </w:rPr>
        <w:t>（第一期）</w:t>
      </w:r>
    </w:p>
    <w:tbl>
      <w:tblPr>
        <w:tblStyle w:val="4"/>
        <w:tblW w:w="8824" w:type="dxa"/>
        <w:tblInd w:w="53" w:type="dxa"/>
        <w:tblLayout w:type="fixed"/>
        <w:tblCellMar>
          <w:top w:w="0" w:type="dxa"/>
          <w:left w:w="0" w:type="dxa"/>
          <w:bottom w:w="0" w:type="dxa"/>
          <w:right w:w="0" w:type="dxa"/>
        </w:tblCellMar>
      </w:tblPr>
      <w:tblGrid>
        <w:gridCol w:w="428"/>
        <w:gridCol w:w="737"/>
        <w:gridCol w:w="2693"/>
        <w:gridCol w:w="3119"/>
        <w:gridCol w:w="425"/>
        <w:gridCol w:w="1422"/>
      </w:tblGrid>
      <w:tr>
        <w:tblPrEx>
          <w:tblCellMar>
            <w:top w:w="0" w:type="dxa"/>
            <w:left w:w="0" w:type="dxa"/>
            <w:bottom w:w="0" w:type="dxa"/>
            <w:right w:w="0" w:type="dxa"/>
          </w:tblCellMar>
        </w:tblPrEx>
        <w:trPr>
          <w:trHeight w:val="779" w:hRule="atLeast"/>
        </w:trPr>
        <w:tc>
          <w:tcPr>
            <w:tcW w:w="42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Times New Roman" w:hAnsi="Times New Roman" w:cs="Times New Roman"/>
                <w:b/>
                <w:sz w:val="22"/>
                <w:szCs w:val="22"/>
              </w:rPr>
            </w:pPr>
            <w:r>
              <w:rPr>
                <w:rFonts w:ascii="Times New Roman" w:hAnsi="Times New Roman" w:cs="Times New Roman"/>
                <w:b/>
                <w:kern w:val="0"/>
                <w:sz w:val="22"/>
                <w:szCs w:val="22"/>
              </w:rPr>
              <w:t>序号</w:t>
            </w:r>
          </w:p>
        </w:tc>
        <w:tc>
          <w:tcPr>
            <w:tcW w:w="737"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Times New Roman" w:hAnsi="Times New Roman" w:cs="Times New Roman"/>
                <w:b/>
                <w:sz w:val="22"/>
                <w:szCs w:val="22"/>
              </w:rPr>
            </w:pPr>
            <w:r>
              <w:rPr>
                <w:rFonts w:ascii="Times New Roman" w:hAnsi="Times New Roman" w:cs="Times New Roman"/>
                <w:b/>
                <w:kern w:val="0"/>
                <w:sz w:val="22"/>
                <w:szCs w:val="22"/>
              </w:rPr>
              <w:t>岗位</w:t>
            </w:r>
          </w:p>
        </w:tc>
        <w:tc>
          <w:tcPr>
            <w:tcW w:w="2693"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Times New Roman" w:hAnsi="Times New Roman" w:cs="Times New Roman"/>
                <w:b/>
                <w:sz w:val="22"/>
                <w:szCs w:val="22"/>
              </w:rPr>
            </w:pPr>
            <w:r>
              <w:rPr>
                <w:rFonts w:ascii="Times New Roman" w:hAnsi="Times New Roman" w:cs="Times New Roman"/>
                <w:b/>
                <w:kern w:val="0"/>
                <w:sz w:val="22"/>
                <w:szCs w:val="22"/>
              </w:rPr>
              <w:t>学历要求</w:t>
            </w:r>
          </w:p>
        </w:tc>
        <w:tc>
          <w:tcPr>
            <w:tcW w:w="3119"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Times New Roman" w:hAnsi="Times New Roman" w:cs="Times New Roman"/>
                <w:b/>
                <w:sz w:val="22"/>
                <w:szCs w:val="22"/>
              </w:rPr>
            </w:pPr>
            <w:r>
              <w:rPr>
                <w:rFonts w:ascii="Times New Roman" w:hAnsi="Times New Roman" w:cs="Times New Roman"/>
                <w:b/>
                <w:kern w:val="0"/>
                <w:sz w:val="22"/>
                <w:szCs w:val="22"/>
              </w:rPr>
              <w:t>专业及其他要求</w:t>
            </w:r>
          </w:p>
        </w:tc>
        <w:tc>
          <w:tcPr>
            <w:tcW w:w="42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Times New Roman" w:hAnsi="Times New Roman" w:cs="Times New Roman"/>
                <w:b/>
                <w:sz w:val="22"/>
                <w:szCs w:val="22"/>
              </w:rPr>
            </w:pPr>
            <w:r>
              <w:rPr>
                <w:rFonts w:ascii="Times New Roman" w:hAnsi="Times New Roman" w:cs="Times New Roman"/>
                <w:b/>
                <w:kern w:val="0"/>
                <w:sz w:val="22"/>
                <w:szCs w:val="22"/>
              </w:rPr>
              <w:t>计划数</w:t>
            </w:r>
          </w:p>
        </w:tc>
        <w:tc>
          <w:tcPr>
            <w:tcW w:w="142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Times New Roman" w:hAnsi="Times New Roman" w:cs="Times New Roman"/>
                <w:b/>
                <w:kern w:val="0"/>
                <w:sz w:val="22"/>
                <w:szCs w:val="22"/>
              </w:rPr>
            </w:pPr>
            <w:r>
              <w:rPr>
                <w:rFonts w:hint="eastAsia" w:ascii="Times New Roman" w:hAnsi="Times New Roman" w:cs="Times New Roman"/>
                <w:b/>
                <w:kern w:val="0"/>
                <w:sz w:val="22"/>
                <w:szCs w:val="22"/>
              </w:rPr>
              <w:t>薪酬待遇</w:t>
            </w:r>
          </w:p>
        </w:tc>
      </w:tr>
      <w:tr>
        <w:tblPrEx>
          <w:tblCellMar>
            <w:top w:w="0" w:type="dxa"/>
            <w:left w:w="0" w:type="dxa"/>
            <w:bottom w:w="0" w:type="dxa"/>
            <w:right w:w="0" w:type="dxa"/>
          </w:tblCellMar>
        </w:tblPrEx>
        <w:trPr>
          <w:trHeight w:val="2694" w:hRule="atLeast"/>
        </w:trPr>
        <w:tc>
          <w:tcPr>
            <w:tcW w:w="42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1</w:t>
            </w:r>
          </w:p>
        </w:tc>
        <w:tc>
          <w:tcPr>
            <w:tcW w:w="7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城建规划</w:t>
            </w:r>
          </w:p>
        </w:tc>
        <w:tc>
          <w:tcPr>
            <w:tcW w:w="2693"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Cs w:val="21"/>
                <w:lang w:bidi="ar"/>
              </w:rPr>
              <w:t>原“985工程”、“211工程”高校以及12所浙江省内重点建设本科院校的全日制普通高校本科学历且取得学士学位毕业生；“双一流”建设高校相关专业的全日制普通高校本科且取得学士学位的毕业生；全日制普通高校研究生且取得硕士及以上学位的毕业生。(以上均不含二级院校和专升本生）</w:t>
            </w:r>
          </w:p>
        </w:tc>
        <w:tc>
          <w:tcPr>
            <w:tcW w:w="311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本科：</w:t>
            </w:r>
            <w:r>
              <w:rPr>
                <w:rFonts w:hint="eastAsia" w:ascii="仿宋_GB2312" w:hAnsi="仿宋_GB2312" w:eastAsia="仿宋_GB2312" w:cs="仿宋_GB2312"/>
                <w:kern w:val="0"/>
                <w:szCs w:val="21"/>
                <w:lang w:bidi="ar"/>
              </w:rPr>
              <w:t xml:space="preserve">土木工程、给排水科学与工程、建筑学、城乡规划、城市设计、智慧建筑与建造            </w:t>
            </w:r>
          </w:p>
          <w:p>
            <w:pPr>
              <w:widowControl/>
              <w:jc w:val="both"/>
              <w:textAlignment w:val="center"/>
              <w:rPr>
                <w:rFonts w:ascii="仿宋_GB2312" w:hAnsi="仿宋_GB2312" w:eastAsia="仿宋_GB2312" w:cs="仿宋_GB2312"/>
                <w:kern w:val="0"/>
                <w:sz w:val="24"/>
                <w:lang w:bidi="ar"/>
              </w:rPr>
            </w:pPr>
            <w:r>
              <w:rPr>
                <w:rFonts w:hint="eastAsia" w:ascii="仿宋_GB2312" w:hAnsi="仿宋_GB2312" w:eastAsia="仿宋_GB2312" w:cs="仿宋_GB2312"/>
                <w:b/>
                <w:bCs/>
                <w:kern w:val="0"/>
                <w:szCs w:val="21"/>
                <w:lang w:bidi="ar"/>
              </w:rPr>
              <w:t>研究生：</w:t>
            </w:r>
            <w:r>
              <w:rPr>
                <w:rFonts w:hint="eastAsia" w:ascii="仿宋_GB2312" w:hAnsi="仿宋_GB2312" w:eastAsia="仿宋_GB2312" w:cs="仿宋_GB2312"/>
                <w:kern w:val="0"/>
                <w:szCs w:val="21"/>
                <w:lang w:bidi="ar"/>
              </w:rPr>
              <w:t>建设工程管理、建筑与城乡规划设计、土木工程、市政工程、土木工程规划与管理、建筑学、城市规划、城市规划与设计、城市与区域规划</w:t>
            </w:r>
          </w:p>
        </w:tc>
        <w:tc>
          <w:tcPr>
            <w:tcW w:w="4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3</w:t>
            </w:r>
          </w:p>
        </w:tc>
        <w:tc>
          <w:tcPr>
            <w:tcW w:w="1422"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录用后参照现有事业单位管理人员待遇</w:t>
            </w:r>
          </w:p>
        </w:tc>
      </w:tr>
      <w:tr>
        <w:tblPrEx>
          <w:tblCellMar>
            <w:top w:w="0" w:type="dxa"/>
            <w:left w:w="0" w:type="dxa"/>
            <w:bottom w:w="0" w:type="dxa"/>
            <w:right w:w="0" w:type="dxa"/>
          </w:tblCellMar>
        </w:tblPrEx>
        <w:trPr>
          <w:trHeight w:val="2054" w:hRule="atLeast"/>
        </w:trPr>
        <w:tc>
          <w:tcPr>
            <w:tcW w:w="42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2</w:t>
            </w:r>
          </w:p>
        </w:tc>
        <w:tc>
          <w:tcPr>
            <w:tcW w:w="7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交通工程</w:t>
            </w:r>
          </w:p>
        </w:tc>
        <w:tc>
          <w:tcPr>
            <w:tcW w:w="2693"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c>
          <w:tcPr>
            <w:tcW w:w="311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本科：</w:t>
            </w:r>
            <w:r>
              <w:rPr>
                <w:rFonts w:hint="eastAsia" w:ascii="仿宋_GB2312" w:hAnsi="仿宋_GB2312" w:eastAsia="仿宋_GB2312" w:cs="仿宋_GB2312"/>
                <w:kern w:val="0"/>
                <w:szCs w:val="21"/>
                <w:lang w:bidi="ar"/>
              </w:rPr>
              <w:t>交通运输、交通工程、道路桥梁与渡河工程</w:t>
            </w:r>
            <w:r>
              <w:rPr>
                <w:rFonts w:hint="eastAsia" w:ascii="仿宋_GB2312" w:hAnsi="仿宋_GB2312" w:eastAsia="仿宋_GB2312" w:cs="仿宋_GB2312"/>
                <w:kern w:val="0"/>
                <w:szCs w:val="21"/>
                <w:highlight w:val="none"/>
                <w:lang w:bidi="ar"/>
              </w:rPr>
              <w:t>、土木、水利与交通工程、土木工程、工程</w:t>
            </w:r>
            <w:r>
              <w:rPr>
                <w:rFonts w:hint="eastAsia" w:ascii="仿宋_GB2312" w:hAnsi="仿宋_GB2312" w:eastAsia="仿宋_GB2312" w:cs="仿宋_GB2312"/>
                <w:kern w:val="0"/>
                <w:szCs w:val="21"/>
                <w:lang w:bidi="ar"/>
              </w:rPr>
              <w:t>造价</w:t>
            </w:r>
          </w:p>
          <w:p>
            <w:pPr>
              <w:widowControl/>
              <w:jc w:val="both"/>
              <w:textAlignment w:val="center"/>
              <w:rPr>
                <w:rFonts w:ascii="仿宋_GB2312" w:hAnsi="仿宋_GB2312" w:eastAsia="仿宋_GB2312" w:cs="仿宋_GB2312"/>
                <w:kern w:val="0"/>
                <w:sz w:val="24"/>
                <w:lang w:bidi="ar"/>
              </w:rPr>
            </w:pPr>
            <w:r>
              <w:rPr>
                <w:rFonts w:hint="eastAsia" w:ascii="仿宋_GB2312" w:hAnsi="仿宋_GB2312" w:eastAsia="仿宋_GB2312" w:cs="仿宋_GB2312"/>
                <w:b/>
                <w:bCs/>
                <w:kern w:val="0"/>
                <w:szCs w:val="21"/>
                <w:lang w:bidi="ar"/>
              </w:rPr>
              <w:t>研究生：</w:t>
            </w:r>
            <w:r>
              <w:rPr>
                <w:rFonts w:hint="eastAsia" w:ascii="仿宋_GB2312" w:hAnsi="仿宋_GB2312" w:eastAsia="仿宋_GB2312" w:cs="仿宋_GB2312"/>
                <w:kern w:val="0"/>
                <w:szCs w:val="21"/>
                <w:lang w:bidi="ar"/>
              </w:rPr>
              <w:t>交通运输、交通工程、桥梁与隧道工程、土木工程、交通运输工程、交通运输规划与管理、工程财务与造价管理</w:t>
            </w:r>
          </w:p>
        </w:tc>
        <w:tc>
          <w:tcPr>
            <w:tcW w:w="4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2</w:t>
            </w:r>
          </w:p>
        </w:tc>
        <w:tc>
          <w:tcPr>
            <w:tcW w:w="1422"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r>
      <w:tr>
        <w:tblPrEx>
          <w:tblCellMar>
            <w:top w:w="0" w:type="dxa"/>
            <w:left w:w="0" w:type="dxa"/>
            <w:bottom w:w="0" w:type="dxa"/>
            <w:right w:w="0" w:type="dxa"/>
          </w:tblCellMar>
        </w:tblPrEx>
        <w:trPr>
          <w:trHeight w:val="199" w:hRule="atLeast"/>
        </w:trPr>
        <w:tc>
          <w:tcPr>
            <w:tcW w:w="42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3</w:t>
            </w:r>
          </w:p>
        </w:tc>
        <w:tc>
          <w:tcPr>
            <w:tcW w:w="7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农业资源1</w:t>
            </w:r>
          </w:p>
        </w:tc>
        <w:tc>
          <w:tcPr>
            <w:tcW w:w="2693"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c>
          <w:tcPr>
            <w:tcW w:w="311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本科：</w:t>
            </w:r>
            <w:r>
              <w:rPr>
                <w:rFonts w:hint="eastAsia" w:ascii="仿宋_GB2312" w:hAnsi="仿宋_GB2312" w:eastAsia="仿宋_GB2312" w:cs="仿宋_GB2312"/>
                <w:kern w:val="0"/>
                <w:szCs w:val="21"/>
                <w:lang w:bidi="ar"/>
              </w:rPr>
              <w:t>中药学、中药资源与开发、中药制药、中草药栽培与鉴定、植物保护、植物科学与技术、农业资源与环境</w:t>
            </w:r>
          </w:p>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研究生：</w:t>
            </w:r>
            <w:r>
              <w:rPr>
                <w:rFonts w:hint="eastAsia" w:ascii="仿宋_GB2312" w:hAnsi="仿宋_GB2312" w:eastAsia="仿宋_GB2312" w:cs="仿宋_GB2312"/>
                <w:kern w:val="0"/>
                <w:szCs w:val="21"/>
                <w:lang w:bidi="ar"/>
              </w:rPr>
              <w:t>中药学、生药学、药剂学、生物化学与分子生物学、土壤学、资源利用与植物保护</w:t>
            </w:r>
          </w:p>
        </w:tc>
        <w:tc>
          <w:tcPr>
            <w:tcW w:w="425"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1</w:t>
            </w:r>
          </w:p>
        </w:tc>
        <w:tc>
          <w:tcPr>
            <w:tcW w:w="1422"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r>
      <w:tr>
        <w:tblPrEx>
          <w:tblCellMar>
            <w:top w:w="0" w:type="dxa"/>
            <w:left w:w="0" w:type="dxa"/>
            <w:bottom w:w="0" w:type="dxa"/>
            <w:right w:w="0" w:type="dxa"/>
          </w:tblCellMar>
        </w:tblPrEx>
        <w:trPr>
          <w:trHeight w:val="199" w:hRule="atLeast"/>
        </w:trPr>
        <w:tc>
          <w:tcPr>
            <w:tcW w:w="42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4</w:t>
            </w:r>
          </w:p>
        </w:tc>
        <w:tc>
          <w:tcPr>
            <w:tcW w:w="7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农业资源2</w:t>
            </w:r>
          </w:p>
        </w:tc>
        <w:tc>
          <w:tcPr>
            <w:tcW w:w="2693"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c>
          <w:tcPr>
            <w:tcW w:w="311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本科：</w:t>
            </w:r>
            <w:r>
              <w:rPr>
                <w:rFonts w:hint="eastAsia" w:ascii="仿宋_GB2312" w:hAnsi="仿宋_GB2312" w:eastAsia="仿宋_GB2312" w:cs="仿宋_GB2312"/>
                <w:kern w:val="0"/>
                <w:szCs w:val="21"/>
                <w:lang w:bidi="ar"/>
              </w:rPr>
              <w:t>农业水利工程、农业工程、设施农业科学与工程、生物工程</w:t>
            </w:r>
          </w:p>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研究生：</w:t>
            </w:r>
            <w:r>
              <w:rPr>
                <w:rFonts w:hint="eastAsia" w:ascii="仿宋_GB2312" w:hAnsi="仿宋_GB2312" w:eastAsia="仿宋_GB2312" w:cs="仿宋_GB2312"/>
                <w:kern w:val="0"/>
                <w:szCs w:val="21"/>
                <w:lang w:bidi="ar"/>
              </w:rPr>
              <w:t>农业工程、生物工程</w:t>
            </w:r>
          </w:p>
        </w:tc>
        <w:tc>
          <w:tcPr>
            <w:tcW w:w="425"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1</w:t>
            </w:r>
          </w:p>
        </w:tc>
        <w:tc>
          <w:tcPr>
            <w:tcW w:w="1422" w:type="dxa"/>
            <w:vMerge w:val="continue"/>
            <w:tcBorders>
              <w:left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r>
      <w:tr>
        <w:tblPrEx>
          <w:tblCellMar>
            <w:top w:w="0" w:type="dxa"/>
            <w:left w:w="0" w:type="dxa"/>
            <w:bottom w:w="0" w:type="dxa"/>
            <w:right w:w="0" w:type="dxa"/>
          </w:tblCellMar>
        </w:tblPrEx>
        <w:trPr>
          <w:trHeight w:val="199" w:hRule="atLeast"/>
        </w:trPr>
        <w:tc>
          <w:tcPr>
            <w:tcW w:w="42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5</w:t>
            </w:r>
          </w:p>
        </w:tc>
        <w:tc>
          <w:tcPr>
            <w:tcW w:w="7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水利工程</w:t>
            </w:r>
          </w:p>
        </w:tc>
        <w:tc>
          <w:tcPr>
            <w:tcW w:w="2693"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c>
          <w:tcPr>
            <w:tcW w:w="311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本科</w:t>
            </w:r>
            <w:r>
              <w:rPr>
                <w:rFonts w:hint="eastAsia" w:ascii="仿宋_GB2312" w:hAnsi="仿宋_GB2312" w:eastAsia="仿宋_GB2312" w:cs="仿宋_GB2312"/>
                <w:kern w:val="0"/>
                <w:szCs w:val="21"/>
                <w:lang w:bidi="ar"/>
              </w:rPr>
              <w:t>：水土保持与荒漠化防治、水文与水资源工程、大气科学、采矿工程</w:t>
            </w:r>
          </w:p>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研究生：</w:t>
            </w:r>
            <w:r>
              <w:rPr>
                <w:rFonts w:hint="eastAsia" w:ascii="仿宋_GB2312" w:hAnsi="仿宋_GB2312" w:eastAsia="仿宋_GB2312" w:cs="仿宋_GB2312"/>
                <w:kern w:val="0"/>
                <w:szCs w:val="21"/>
                <w:lang w:bidi="ar"/>
              </w:rPr>
              <w:t>水土保持与荒漠化防治、森林培育、森林保护学、森林经理学、经济林学、大气科学、采矿工程</w:t>
            </w:r>
          </w:p>
        </w:tc>
        <w:tc>
          <w:tcPr>
            <w:tcW w:w="425"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2</w:t>
            </w:r>
          </w:p>
        </w:tc>
        <w:tc>
          <w:tcPr>
            <w:tcW w:w="1422"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r>
      <w:tr>
        <w:tblPrEx>
          <w:tblCellMar>
            <w:top w:w="0" w:type="dxa"/>
            <w:left w:w="0" w:type="dxa"/>
            <w:bottom w:w="0" w:type="dxa"/>
            <w:right w:w="0" w:type="dxa"/>
          </w:tblCellMar>
        </w:tblPrEx>
        <w:trPr>
          <w:trHeight w:val="1834" w:hRule="atLeast"/>
        </w:trPr>
        <w:tc>
          <w:tcPr>
            <w:tcW w:w="428"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6</w:t>
            </w:r>
          </w:p>
        </w:tc>
        <w:tc>
          <w:tcPr>
            <w:tcW w:w="73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思想政治</w:t>
            </w:r>
          </w:p>
        </w:tc>
        <w:tc>
          <w:tcPr>
            <w:tcW w:w="2693" w:type="dxa"/>
            <w:vMerge w:val="restart"/>
            <w:tcBorders>
              <w:top w:val="single" w:color="auto" w:sz="4" w:space="0"/>
              <w:left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Cs w:val="21"/>
                <w:lang w:bidi="ar"/>
              </w:rPr>
              <w:t>全日制普通高校研究生且取得硕士及以上学位的毕业生。(不含二级院校和专升本生）</w:t>
            </w:r>
          </w:p>
        </w:tc>
        <w:tc>
          <w:tcPr>
            <w:tcW w:w="3119"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研究生：</w:t>
            </w:r>
            <w:r>
              <w:rPr>
                <w:rFonts w:hint="eastAsia" w:ascii="仿宋_GB2312" w:hAnsi="仿宋_GB2312" w:eastAsia="仿宋_GB2312" w:cs="仿宋_GB2312"/>
                <w:kern w:val="0"/>
                <w:szCs w:val="21"/>
                <w:lang w:bidi="ar"/>
              </w:rPr>
              <w:t>管理哲学、马克思主义哲学、哲学、政治哲学、公共政策与公共管理、社会管理、政府治理与公共政策、政治学、公共安全管理、公共政策</w:t>
            </w:r>
          </w:p>
        </w:tc>
        <w:tc>
          <w:tcPr>
            <w:tcW w:w="425"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1</w:t>
            </w:r>
          </w:p>
        </w:tc>
        <w:tc>
          <w:tcPr>
            <w:tcW w:w="1422" w:type="dxa"/>
            <w:vMerge w:val="restart"/>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录用后参照现有事业单位管理人员待遇</w:t>
            </w:r>
          </w:p>
        </w:tc>
      </w:tr>
      <w:tr>
        <w:tblPrEx>
          <w:tblCellMar>
            <w:top w:w="0" w:type="dxa"/>
            <w:left w:w="0" w:type="dxa"/>
            <w:bottom w:w="0" w:type="dxa"/>
            <w:right w:w="0" w:type="dxa"/>
          </w:tblCellMar>
        </w:tblPrEx>
        <w:trPr>
          <w:trHeight w:val="1213" w:hRule="atLeast"/>
        </w:trPr>
        <w:tc>
          <w:tcPr>
            <w:tcW w:w="428"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7</w:t>
            </w:r>
          </w:p>
        </w:tc>
        <w:tc>
          <w:tcPr>
            <w:tcW w:w="737"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经济管理</w:t>
            </w:r>
          </w:p>
        </w:tc>
        <w:tc>
          <w:tcPr>
            <w:tcW w:w="2693" w:type="dxa"/>
            <w:vMerge w:val="continue"/>
            <w:tcBorders>
              <w:left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c>
          <w:tcPr>
            <w:tcW w:w="3119"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研究生：</w:t>
            </w:r>
            <w:r>
              <w:rPr>
                <w:rFonts w:hint="eastAsia" w:ascii="仿宋_GB2312" w:hAnsi="仿宋_GB2312" w:eastAsia="仿宋_GB2312" w:cs="仿宋_GB2312"/>
                <w:kern w:val="0"/>
                <w:szCs w:val="21"/>
                <w:lang w:bidi="ar"/>
              </w:rPr>
              <w:t>发展经济学、管理经济学、企业经济学、产业经济学、工商管理</w:t>
            </w:r>
          </w:p>
        </w:tc>
        <w:tc>
          <w:tcPr>
            <w:tcW w:w="425"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4</w:t>
            </w:r>
          </w:p>
        </w:tc>
        <w:tc>
          <w:tcPr>
            <w:tcW w:w="142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r>
      <w:tr>
        <w:tblPrEx>
          <w:tblCellMar>
            <w:top w:w="0" w:type="dxa"/>
            <w:left w:w="0" w:type="dxa"/>
            <w:bottom w:w="0" w:type="dxa"/>
            <w:right w:w="0" w:type="dxa"/>
          </w:tblCellMar>
        </w:tblPrEx>
        <w:trPr>
          <w:trHeight w:val="1213" w:hRule="atLeast"/>
        </w:trPr>
        <w:tc>
          <w:tcPr>
            <w:tcW w:w="428"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8</w:t>
            </w:r>
          </w:p>
        </w:tc>
        <w:tc>
          <w:tcPr>
            <w:tcW w:w="737"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数字经济</w:t>
            </w:r>
          </w:p>
        </w:tc>
        <w:tc>
          <w:tcPr>
            <w:tcW w:w="2693" w:type="dxa"/>
            <w:vMerge w:val="continue"/>
            <w:tcBorders>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c>
          <w:tcPr>
            <w:tcW w:w="3119"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研究生：</w:t>
            </w:r>
            <w:r>
              <w:rPr>
                <w:rFonts w:hint="eastAsia" w:ascii="仿宋_GB2312" w:hAnsi="仿宋_GB2312" w:eastAsia="仿宋_GB2312" w:cs="仿宋_GB2312"/>
                <w:kern w:val="0"/>
                <w:szCs w:val="21"/>
                <w:lang w:bidi="ar"/>
              </w:rPr>
              <w:t>计算机应用技术、数据科学和信息技术、互联网信息、信息网络、数据科学、经济大数据分析、互联网金融、经济大数据分析</w:t>
            </w:r>
          </w:p>
        </w:tc>
        <w:tc>
          <w:tcPr>
            <w:tcW w:w="425"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3</w:t>
            </w:r>
          </w:p>
        </w:tc>
        <w:tc>
          <w:tcPr>
            <w:tcW w:w="142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r>
      <w:tr>
        <w:tblPrEx>
          <w:tblCellMar>
            <w:top w:w="0" w:type="dxa"/>
            <w:left w:w="0" w:type="dxa"/>
            <w:bottom w:w="0" w:type="dxa"/>
            <w:right w:w="0" w:type="dxa"/>
          </w:tblCellMar>
        </w:tblPrEx>
        <w:trPr>
          <w:trHeight w:val="1213" w:hRule="atLeast"/>
        </w:trPr>
        <w:tc>
          <w:tcPr>
            <w:tcW w:w="428"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9</w:t>
            </w:r>
          </w:p>
        </w:tc>
        <w:tc>
          <w:tcPr>
            <w:tcW w:w="73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文化艺术</w:t>
            </w:r>
          </w:p>
        </w:tc>
        <w:tc>
          <w:tcPr>
            <w:tcW w:w="2693" w:type="dxa"/>
            <w:tcBorders>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Cs w:val="21"/>
                <w:lang w:bidi="ar"/>
              </w:rPr>
              <w:t>原“985工程”、“211工程”高校、12所浙江省内重点建设本科院校以及中国传媒大学、浙江传媒学院、山西传媒学院、中国传媒大学南广学院的全日制普通高校本科学历且取得学士学位毕业生；“双一流”建设高校相关专业的全日制普通高校本科且取得学士学位的毕业生；全日制普通高校研究生且取得硕士及以上学位的毕业生。(以上均不含二级院校和专升本生）</w:t>
            </w:r>
          </w:p>
        </w:tc>
        <w:tc>
          <w:tcPr>
            <w:tcW w:w="3119"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本科：</w:t>
            </w:r>
            <w:r>
              <w:rPr>
                <w:rFonts w:hint="eastAsia" w:ascii="仿宋_GB2312" w:hAnsi="仿宋_GB2312" w:eastAsia="仿宋_GB2312" w:cs="仿宋_GB2312"/>
                <w:kern w:val="0"/>
                <w:szCs w:val="21"/>
                <w:lang w:bidi="ar"/>
              </w:rPr>
              <w:t>视觉传达设计、录音艺术、播音与主持艺术、广播电视编导</w:t>
            </w:r>
          </w:p>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b/>
                <w:bCs/>
                <w:kern w:val="0"/>
                <w:szCs w:val="21"/>
                <w:lang w:bidi="ar"/>
              </w:rPr>
              <w:t>研究生：</w:t>
            </w:r>
            <w:r>
              <w:rPr>
                <w:rFonts w:hint="eastAsia" w:ascii="仿宋_GB2312" w:hAnsi="仿宋_GB2312" w:eastAsia="仿宋_GB2312" w:cs="仿宋_GB2312"/>
                <w:kern w:val="0"/>
                <w:szCs w:val="21"/>
                <w:lang w:bidi="ar"/>
              </w:rPr>
              <w:t>播音主持艺术学、广播电视、广播电视艺术学、设计艺术学</w:t>
            </w:r>
          </w:p>
        </w:tc>
        <w:tc>
          <w:tcPr>
            <w:tcW w:w="425"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3</w:t>
            </w:r>
          </w:p>
        </w:tc>
        <w:tc>
          <w:tcPr>
            <w:tcW w:w="142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r>
      <w:tr>
        <w:tblPrEx>
          <w:tblCellMar>
            <w:top w:w="0" w:type="dxa"/>
            <w:left w:w="0" w:type="dxa"/>
            <w:bottom w:w="0" w:type="dxa"/>
            <w:right w:w="0" w:type="dxa"/>
          </w:tblCellMar>
        </w:tblPrEx>
        <w:trPr>
          <w:trHeight w:val="4661" w:hRule="atLeast"/>
        </w:trPr>
        <w:tc>
          <w:tcPr>
            <w:tcW w:w="428"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10</w:t>
            </w:r>
          </w:p>
        </w:tc>
        <w:tc>
          <w:tcPr>
            <w:tcW w:w="73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高层次人才</w:t>
            </w:r>
          </w:p>
        </w:tc>
        <w:tc>
          <w:tcPr>
            <w:tcW w:w="2693"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1.本科为原“985工程”“211工程”高校、12所浙江省内重点建设本科院校以及“双一流”建设高校的相关专业毕业后取得全日制研究生学历且取得硕士及以上学位的毕业生。</w:t>
            </w:r>
          </w:p>
          <w:p>
            <w:pPr>
              <w:widowControl/>
              <w:jc w:val="both"/>
              <w:textAlignment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2.原“985工程”、“211工程”高校或“双一流”建设高校相关专业的全日制普通高校研究生且取得硕士及以上学位的毕业生。</w:t>
            </w:r>
          </w:p>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FF0000"/>
                <w:kern w:val="0"/>
                <w:sz w:val="20"/>
                <w:szCs w:val="20"/>
                <w:u w:val="none"/>
                <w:lang w:val="en-US" w:eastAsia="zh-CN" w:bidi="ar"/>
              </w:rPr>
            </w:pPr>
            <w:r>
              <w:rPr>
                <w:rFonts w:hint="eastAsia" w:ascii="仿宋_GB2312" w:hAnsi="仿宋_GB2312" w:eastAsia="仿宋_GB2312" w:cs="仿宋_GB2312"/>
                <w:kern w:val="0"/>
                <w:szCs w:val="21"/>
                <w:lang w:val="en-US" w:eastAsia="zh-CN" w:bidi="ar"/>
              </w:rPr>
              <w:t>3.全日制研究生学历且取得博士学位的毕业生。</w:t>
            </w:r>
          </w:p>
          <w:p>
            <w:pPr>
              <w:widowControl/>
              <w:jc w:val="both"/>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Cs w:val="21"/>
                <w:lang w:bidi="ar"/>
              </w:rPr>
              <w:t>(以上均不含二级院校和专升本生)</w:t>
            </w:r>
          </w:p>
        </w:tc>
        <w:tc>
          <w:tcPr>
            <w:tcW w:w="3119"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不限专业</w:t>
            </w:r>
          </w:p>
        </w:tc>
        <w:tc>
          <w:tcPr>
            <w:tcW w:w="425"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10</w:t>
            </w:r>
          </w:p>
        </w:tc>
        <w:tc>
          <w:tcPr>
            <w:tcW w:w="1422" w:type="dxa"/>
            <w:vMerge w:val="continue"/>
            <w:tcBorders>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kern w:val="0"/>
                <w:sz w:val="24"/>
                <w:lang w:bidi="ar"/>
              </w:rPr>
            </w:pPr>
          </w:p>
        </w:tc>
      </w:tr>
    </w:tbl>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仿宋_GB2312" w:cs="Times New Roman"/>
          <w:sz w:val="34"/>
          <w:szCs w:val="34"/>
          <w:lang w:val="en-US" w:eastAsia="zh-CN"/>
        </w:rPr>
      </w:pPr>
      <w:r>
        <w:rPr>
          <w:rFonts w:hint="eastAsia" w:ascii="Times New Roman" w:hAnsi="Times New Roman" w:eastAsia="仿宋_GB2312" w:cs="Times New Roman"/>
          <w:sz w:val="34"/>
          <w:szCs w:val="34"/>
          <w:lang w:eastAsia="zh-CN"/>
        </w:rPr>
        <w:t>附件</w:t>
      </w:r>
      <w:r>
        <w:rPr>
          <w:rFonts w:hint="eastAsia" w:ascii="Times New Roman" w:hAnsi="Times New Roman" w:eastAsia="仿宋_GB2312" w:cs="Times New Roman"/>
          <w:sz w:val="34"/>
          <w:szCs w:val="34"/>
          <w:lang w:val="en-US" w:eastAsia="zh-CN"/>
        </w:rPr>
        <w:t>2</w:t>
      </w:r>
    </w:p>
    <w:p>
      <w:pPr>
        <w:spacing w:beforeLines="50" w:line="320" w:lineRule="exact"/>
        <w:jc w:val="center"/>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2021年常山县人才服务站公开招聘紧缺急需人才</w:t>
      </w:r>
    </w:p>
    <w:p>
      <w:pPr>
        <w:spacing w:beforeLines="50" w:line="320" w:lineRule="exact"/>
        <w:jc w:val="center"/>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报名表</w:t>
      </w:r>
    </w:p>
    <w:p>
      <w:pPr>
        <w:spacing w:beforeLines="50" w:line="320" w:lineRule="exact"/>
        <w:rPr>
          <w:rFonts w:ascii="仿宋_GB2312"/>
          <w:b/>
          <w:szCs w:val="32"/>
        </w:rPr>
      </w:pPr>
      <w:r>
        <w:rPr>
          <w:rFonts w:hint="eastAsia" w:ascii="仿宋_GB2312"/>
          <w:b/>
          <w:szCs w:val="32"/>
        </w:rPr>
        <w:t>报考单位：                               报考岗位：</w:t>
      </w:r>
    </w:p>
    <w:tbl>
      <w:tblPr>
        <w:tblStyle w:val="4"/>
        <w:tblW w:w="9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417"/>
        <w:gridCol w:w="628"/>
        <w:gridCol w:w="232"/>
        <w:gridCol w:w="8"/>
        <w:gridCol w:w="328"/>
        <w:gridCol w:w="851"/>
        <w:gridCol w:w="709"/>
        <w:gridCol w:w="530"/>
        <w:gridCol w:w="257"/>
        <w:gridCol w:w="488"/>
        <w:gridCol w:w="932"/>
        <w:gridCol w:w="1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354" w:type="dxa"/>
            <w:tcBorders>
              <w:top w:val="single" w:color="auto" w:sz="4" w:space="0"/>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姓  名</w:t>
            </w:r>
          </w:p>
        </w:tc>
        <w:tc>
          <w:tcPr>
            <w:tcW w:w="1417" w:type="dxa"/>
            <w:tcBorders>
              <w:top w:val="single" w:color="auto" w:sz="4" w:space="0"/>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628" w:type="dxa"/>
            <w:tcBorders>
              <w:top w:val="single" w:color="auto" w:sz="4" w:space="0"/>
              <w:left w:val="single" w:color="auto" w:sz="4" w:space="0"/>
              <w:bottom w:val="single" w:color="auto" w:sz="4" w:space="0"/>
              <w:right w:val="single" w:color="auto" w:sz="4" w:space="0"/>
            </w:tcBorders>
            <w:noWrap/>
            <w:vAlign w:val="center"/>
          </w:tcPr>
          <w:p>
            <w:pPr>
              <w:widowControl/>
              <w:spacing w:line="356" w:lineRule="exact"/>
              <w:jc w:val="center"/>
              <w:rPr>
                <w:rFonts w:ascii="仿宋_GB2312" w:hAnsi="仿宋_GB2312" w:cs="仿宋_GB2312"/>
                <w:kern w:val="0"/>
                <w:sz w:val="24"/>
                <w:szCs w:val="24"/>
              </w:rPr>
            </w:pPr>
            <w:r>
              <w:rPr>
                <w:rFonts w:hint="eastAsia" w:ascii="仿宋_GB2312" w:hAnsi="仿宋_GB2312" w:cs="仿宋_GB2312"/>
                <w:kern w:val="0"/>
                <w:sz w:val="24"/>
                <w:szCs w:val="24"/>
              </w:rPr>
              <w:t>性别</w:t>
            </w:r>
          </w:p>
        </w:tc>
        <w:tc>
          <w:tcPr>
            <w:tcW w:w="568"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851" w:type="dxa"/>
            <w:tcBorders>
              <w:top w:val="single" w:color="auto" w:sz="4" w:space="0"/>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民族</w:t>
            </w:r>
          </w:p>
        </w:tc>
        <w:tc>
          <w:tcPr>
            <w:tcW w:w="1239" w:type="dxa"/>
            <w:gridSpan w:val="2"/>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745" w:type="dxa"/>
            <w:gridSpan w:val="2"/>
            <w:tcBorders>
              <w:top w:val="single" w:color="auto" w:sz="4" w:space="0"/>
              <w:left w:val="single" w:color="auto" w:sz="4" w:space="0"/>
              <w:right w:val="single" w:color="auto" w:sz="4" w:space="0"/>
            </w:tcBorders>
            <w:noWrap/>
            <w:vAlign w:val="center"/>
          </w:tcPr>
          <w:p>
            <w:pPr>
              <w:widowControl/>
              <w:spacing w:line="356" w:lineRule="exact"/>
              <w:jc w:val="center"/>
              <w:rPr>
                <w:rFonts w:ascii="仿宋_GB2312" w:hAnsi="仿宋_GB2312" w:cs="仿宋_GB2312"/>
                <w:kern w:val="0"/>
                <w:sz w:val="24"/>
                <w:szCs w:val="24"/>
              </w:rPr>
            </w:pPr>
            <w:r>
              <w:rPr>
                <w:rFonts w:hint="eastAsia" w:ascii="仿宋_GB2312" w:hAnsi="仿宋_GB2312" w:cs="仿宋_GB2312"/>
                <w:kern w:val="0"/>
                <w:sz w:val="24"/>
                <w:szCs w:val="24"/>
              </w:rPr>
              <w:t>婚姻</w:t>
            </w:r>
          </w:p>
          <w:p>
            <w:pPr>
              <w:widowControl/>
              <w:spacing w:line="356" w:lineRule="exact"/>
              <w:jc w:val="center"/>
              <w:rPr>
                <w:rFonts w:ascii="仿宋_GB2312" w:hAnsi="仿宋_GB2312" w:cs="仿宋_GB2312"/>
                <w:kern w:val="0"/>
                <w:sz w:val="24"/>
                <w:szCs w:val="24"/>
              </w:rPr>
            </w:pPr>
            <w:r>
              <w:rPr>
                <w:rFonts w:hint="eastAsia" w:ascii="仿宋_GB2312" w:hAnsi="仿宋_GB2312" w:cs="仿宋_GB2312"/>
                <w:kern w:val="0"/>
                <w:sz w:val="24"/>
                <w:szCs w:val="24"/>
              </w:rPr>
              <w:t>状况</w:t>
            </w:r>
          </w:p>
        </w:tc>
        <w:tc>
          <w:tcPr>
            <w:tcW w:w="932" w:type="dxa"/>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1870" w:type="dxa"/>
            <w:vMerge w:val="restart"/>
            <w:tcBorders>
              <w:top w:val="single" w:color="auto" w:sz="4" w:space="0"/>
              <w:left w:val="single" w:color="auto" w:sz="4" w:space="0"/>
              <w:right w:val="single" w:color="auto" w:sz="4" w:space="0"/>
            </w:tcBorders>
            <w:noWrap/>
            <w:textDirection w:val="tbRlV"/>
            <w:vAlign w:val="center"/>
          </w:tcPr>
          <w:p>
            <w:pPr>
              <w:widowControl/>
              <w:spacing w:line="576" w:lineRule="exact"/>
              <w:ind w:left="113" w:right="113"/>
              <w:jc w:val="center"/>
              <w:rPr>
                <w:rFonts w:ascii="仿宋_GB2312" w:hAnsi="仿宋_GB2312" w:cs="仿宋_GB2312"/>
                <w:kern w:val="0"/>
                <w:sz w:val="24"/>
                <w:szCs w:val="24"/>
              </w:rPr>
            </w:pPr>
            <w:r>
              <w:rPr>
                <w:rFonts w:hint="eastAsia" w:ascii="仿宋_GB2312" w:hAnsi="仿宋_GB2312" w:cs="仿宋_GB2312"/>
                <w:kern w:val="0"/>
                <w:sz w:val="24"/>
                <w:szCs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354" w:type="dxa"/>
            <w:vMerge w:val="restart"/>
            <w:tcBorders>
              <w:top w:val="single" w:color="auto" w:sz="4" w:space="0"/>
              <w:left w:val="single" w:color="auto" w:sz="4" w:space="0"/>
              <w:right w:val="single" w:color="auto" w:sz="4" w:space="0"/>
            </w:tcBorders>
            <w:noWrap/>
            <w:vAlign w:val="center"/>
          </w:tcPr>
          <w:p>
            <w:pPr>
              <w:widowControl/>
              <w:spacing w:line="360" w:lineRule="exact"/>
              <w:jc w:val="center"/>
              <w:rPr>
                <w:rFonts w:ascii="仿宋_GB2312" w:hAnsi="仿宋_GB2312" w:cs="仿宋_GB2312"/>
                <w:spacing w:val="-20"/>
                <w:kern w:val="0"/>
                <w:sz w:val="24"/>
                <w:szCs w:val="24"/>
              </w:rPr>
            </w:pPr>
            <w:r>
              <w:rPr>
                <w:rFonts w:hint="eastAsia" w:ascii="仿宋_GB2312" w:hAnsi="仿宋_GB2312" w:cs="仿宋_GB2312"/>
                <w:kern w:val="0"/>
                <w:sz w:val="24"/>
                <w:szCs w:val="24"/>
              </w:rPr>
              <w:t>毕业学校及专业</w:t>
            </w:r>
          </w:p>
        </w:tc>
        <w:tc>
          <w:tcPr>
            <w:tcW w:w="4173" w:type="dxa"/>
            <w:gridSpan w:val="7"/>
            <w:vMerge w:val="restart"/>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787" w:type="dxa"/>
            <w:gridSpan w:val="2"/>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学历</w:t>
            </w:r>
          </w:p>
        </w:tc>
        <w:tc>
          <w:tcPr>
            <w:tcW w:w="1420" w:type="dxa"/>
            <w:gridSpan w:val="2"/>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1870" w:type="dxa"/>
            <w:vMerge w:val="continue"/>
            <w:tcBorders>
              <w:left w:val="single" w:color="auto" w:sz="4" w:space="0"/>
              <w:right w:val="single" w:color="auto" w:sz="4" w:space="0"/>
            </w:tcBorders>
            <w:noWrap/>
            <w:vAlign w:val="center"/>
          </w:tcPr>
          <w:p>
            <w:pPr>
              <w:widowControl/>
              <w:spacing w:line="576" w:lineRule="exact"/>
              <w:jc w:val="left"/>
              <w:rPr>
                <w:rFonts w:ascii="仿宋_GB2312" w:hAnsi="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354" w:type="dxa"/>
            <w:vMerge w:val="continue"/>
            <w:tcBorders>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4173" w:type="dxa"/>
            <w:gridSpan w:val="7"/>
            <w:vMerge w:val="continue"/>
            <w:tcBorders>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787" w:type="dxa"/>
            <w:gridSpan w:val="2"/>
            <w:tcBorders>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学位</w:t>
            </w:r>
          </w:p>
        </w:tc>
        <w:tc>
          <w:tcPr>
            <w:tcW w:w="1420" w:type="dxa"/>
            <w:gridSpan w:val="2"/>
            <w:tcBorders>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1870" w:type="dxa"/>
            <w:vMerge w:val="continue"/>
            <w:tcBorders>
              <w:left w:val="single" w:color="auto" w:sz="4" w:space="0"/>
              <w:right w:val="single" w:color="auto" w:sz="4" w:space="0"/>
            </w:tcBorders>
            <w:noWrap/>
            <w:vAlign w:val="center"/>
          </w:tcPr>
          <w:p>
            <w:pPr>
              <w:widowControl/>
              <w:spacing w:line="576" w:lineRule="exact"/>
              <w:jc w:val="left"/>
              <w:rPr>
                <w:rFonts w:ascii="仿宋_GB2312" w:hAnsi="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354" w:type="dxa"/>
            <w:tcBorders>
              <w:top w:val="single" w:color="auto" w:sz="4" w:space="0"/>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政治面貌</w:t>
            </w:r>
          </w:p>
        </w:tc>
        <w:tc>
          <w:tcPr>
            <w:tcW w:w="2285"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1179"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仿宋_GB2312" w:cs="仿宋_GB2312"/>
                <w:kern w:val="0"/>
                <w:sz w:val="24"/>
                <w:szCs w:val="24"/>
              </w:rPr>
            </w:pPr>
            <w:r>
              <w:rPr>
                <w:rFonts w:hint="eastAsia" w:ascii="仿宋_GB2312" w:hAnsi="仿宋_GB2312" w:cs="仿宋_GB2312"/>
                <w:kern w:val="0"/>
                <w:sz w:val="24"/>
                <w:szCs w:val="24"/>
              </w:rPr>
              <w:t>户籍</w:t>
            </w:r>
          </w:p>
          <w:p>
            <w:pPr>
              <w:widowControl/>
              <w:spacing w:line="360" w:lineRule="exact"/>
              <w:jc w:val="center"/>
              <w:rPr>
                <w:rFonts w:ascii="仿宋_GB2312" w:hAnsi="仿宋_GB2312" w:cs="仿宋_GB2312"/>
                <w:kern w:val="0"/>
                <w:sz w:val="24"/>
                <w:szCs w:val="24"/>
              </w:rPr>
            </w:pPr>
            <w:r>
              <w:rPr>
                <w:rFonts w:hint="eastAsia" w:ascii="仿宋_GB2312" w:hAnsi="仿宋_GB2312" w:cs="仿宋_GB2312"/>
                <w:kern w:val="0"/>
                <w:sz w:val="24"/>
                <w:szCs w:val="24"/>
              </w:rPr>
              <w:t>所在地</w:t>
            </w:r>
          </w:p>
        </w:tc>
        <w:tc>
          <w:tcPr>
            <w:tcW w:w="2916"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1870" w:type="dxa"/>
            <w:vMerge w:val="continue"/>
            <w:tcBorders>
              <w:left w:val="single" w:color="auto" w:sz="4" w:space="0"/>
              <w:bottom w:val="single" w:color="auto" w:sz="4" w:space="0"/>
              <w:right w:val="single" w:color="auto" w:sz="4" w:space="0"/>
            </w:tcBorders>
            <w:noWrap/>
            <w:vAlign w:val="center"/>
          </w:tcPr>
          <w:p>
            <w:pPr>
              <w:widowControl/>
              <w:spacing w:line="576" w:lineRule="exact"/>
              <w:jc w:val="left"/>
              <w:rPr>
                <w:rFonts w:ascii="仿宋_GB2312" w:hAnsi="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354" w:type="dxa"/>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入党时间</w:t>
            </w:r>
          </w:p>
        </w:tc>
        <w:tc>
          <w:tcPr>
            <w:tcW w:w="2285" w:type="dxa"/>
            <w:gridSpan w:val="4"/>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1179" w:type="dxa"/>
            <w:gridSpan w:val="2"/>
            <w:vMerge w:val="restart"/>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技能</w:t>
            </w:r>
          </w:p>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特长</w:t>
            </w:r>
          </w:p>
        </w:tc>
        <w:tc>
          <w:tcPr>
            <w:tcW w:w="4786" w:type="dxa"/>
            <w:gridSpan w:val="6"/>
            <w:tcBorders>
              <w:top w:val="single" w:color="auto" w:sz="4" w:space="0"/>
              <w:left w:val="single" w:color="auto" w:sz="4" w:space="0"/>
              <w:right w:val="single" w:color="auto" w:sz="4" w:space="0"/>
            </w:tcBorders>
            <w:noWrap/>
            <w:vAlign w:val="center"/>
          </w:tcPr>
          <w:p>
            <w:pPr>
              <w:widowControl/>
              <w:spacing w:line="576" w:lineRule="exact"/>
              <w:rPr>
                <w:rFonts w:ascii="仿宋_GB2312" w:hAnsi="仿宋_GB2312" w:cs="仿宋_GB2312"/>
                <w:kern w:val="0"/>
                <w:sz w:val="24"/>
                <w:szCs w:val="24"/>
              </w:rPr>
            </w:pPr>
            <w:r>
              <w:rPr>
                <w:rFonts w:hint="eastAsia" w:ascii="仿宋_GB2312" w:hAnsi="仿宋_GB2312" w:cs="仿宋_GB2312"/>
                <w:kern w:val="0"/>
                <w:sz w:val="24"/>
                <w:szCs w:val="24"/>
              </w:rPr>
              <w:t>计算机等级：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54" w:type="dxa"/>
            <w:tcBorders>
              <w:left w:val="single" w:color="auto" w:sz="4" w:space="0"/>
              <w:right w:val="single" w:color="auto" w:sz="4" w:space="0"/>
            </w:tcBorders>
            <w:noWrap/>
            <w:vAlign w:val="center"/>
          </w:tcPr>
          <w:p>
            <w:pPr>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党内职务</w:t>
            </w:r>
          </w:p>
        </w:tc>
        <w:tc>
          <w:tcPr>
            <w:tcW w:w="2285" w:type="dxa"/>
            <w:gridSpan w:val="4"/>
            <w:tcBorders>
              <w:left w:val="single" w:color="auto" w:sz="4" w:space="0"/>
              <w:right w:val="single" w:color="auto" w:sz="4" w:space="0"/>
            </w:tcBorders>
            <w:noWrap/>
            <w:vAlign w:val="center"/>
          </w:tcPr>
          <w:p>
            <w:pPr>
              <w:spacing w:line="576" w:lineRule="exact"/>
              <w:jc w:val="center"/>
              <w:rPr>
                <w:rFonts w:ascii="仿宋_GB2312" w:hAnsi="仿宋_GB2312" w:cs="仿宋_GB2312"/>
                <w:kern w:val="0"/>
                <w:sz w:val="24"/>
                <w:szCs w:val="24"/>
              </w:rPr>
            </w:pPr>
          </w:p>
        </w:tc>
        <w:tc>
          <w:tcPr>
            <w:tcW w:w="1179" w:type="dxa"/>
            <w:gridSpan w:val="2"/>
            <w:vMerge w:val="continue"/>
            <w:tcBorders>
              <w:left w:val="single" w:color="auto" w:sz="4" w:space="0"/>
              <w:right w:val="single" w:color="auto" w:sz="4" w:space="0"/>
            </w:tcBorders>
            <w:noWrap/>
            <w:vAlign w:val="center"/>
          </w:tcPr>
          <w:p>
            <w:pPr>
              <w:spacing w:line="576" w:lineRule="exact"/>
              <w:jc w:val="center"/>
              <w:rPr>
                <w:rFonts w:ascii="仿宋_GB2312" w:hAnsi="仿宋_GB2312" w:cs="仿宋_GB2312"/>
                <w:kern w:val="0"/>
                <w:sz w:val="24"/>
                <w:szCs w:val="24"/>
              </w:rPr>
            </w:pPr>
          </w:p>
        </w:tc>
        <w:tc>
          <w:tcPr>
            <w:tcW w:w="4786" w:type="dxa"/>
            <w:gridSpan w:val="6"/>
            <w:tcBorders>
              <w:left w:val="single" w:color="auto" w:sz="4" w:space="0"/>
              <w:right w:val="single" w:color="auto" w:sz="4" w:space="0"/>
            </w:tcBorders>
            <w:noWrap/>
            <w:vAlign w:val="center"/>
          </w:tcPr>
          <w:p>
            <w:pPr>
              <w:widowControl/>
              <w:spacing w:line="576" w:lineRule="exact"/>
              <w:rPr>
                <w:rFonts w:ascii="仿宋_GB2312" w:hAnsi="仿宋_GB2312" w:cs="仿宋_GB2312"/>
                <w:kern w:val="0"/>
                <w:sz w:val="24"/>
                <w:szCs w:val="24"/>
              </w:rPr>
            </w:pPr>
            <w:r>
              <w:rPr>
                <w:rFonts w:hint="eastAsia" w:ascii="仿宋_GB2312" w:hAnsi="仿宋_GB2312" w:cs="仿宋_GB2312"/>
                <w:kern w:val="0"/>
                <w:sz w:val="24"/>
                <w:szCs w:val="24"/>
              </w:rPr>
              <w:t>外语等级：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354" w:type="dxa"/>
            <w:tcBorders>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其他职务</w:t>
            </w:r>
          </w:p>
        </w:tc>
        <w:tc>
          <w:tcPr>
            <w:tcW w:w="2285" w:type="dxa"/>
            <w:gridSpan w:val="4"/>
            <w:tcBorders>
              <w:left w:val="single" w:color="auto" w:sz="4" w:space="0"/>
              <w:right w:val="single" w:color="auto" w:sz="4" w:space="0"/>
            </w:tcBorders>
            <w:noWrap/>
            <w:vAlign w:val="center"/>
          </w:tcPr>
          <w:p>
            <w:pPr>
              <w:spacing w:line="576" w:lineRule="exact"/>
              <w:jc w:val="center"/>
              <w:rPr>
                <w:rFonts w:ascii="仿宋_GB2312" w:hAnsi="仿宋_GB2312" w:cs="仿宋_GB2312"/>
                <w:kern w:val="0"/>
                <w:sz w:val="24"/>
                <w:szCs w:val="24"/>
              </w:rPr>
            </w:pPr>
          </w:p>
        </w:tc>
        <w:tc>
          <w:tcPr>
            <w:tcW w:w="1179" w:type="dxa"/>
            <w:gridSpan w:val="2"/>
            <w:vMerge w:val="continue"/>
            <w:tcBorders>
              <w:left w:val="single" w:color="auto" w:sz="4" w:space="0"/>
              <w:right w:val="single" w:color="auto" w:sz="4" w:space="0"/>
            </w:tcBorders>
            <w:noWrap/>
            <w:vAlign w:val="center"/>
          </w:tcPr>
          <w:p>
            <w:pPr>
              <w:spacing w:line="576" w:lineRule="exact"/>
              <w:jc w:val="center"/>
              <w:rPr>
                <w:rFonts w:ascii="仿宋_GB2312" w:hAnsi="仿宋_GB2312" w:cs="仿宋_GB2312"/>
                <w:kern w:val="0"/>
                <w:sz w:val="24"/>
                <w:szCs w:val="24"/>
              </w:rPr>
            </w:pPr>
          </w:p>
        </w:tc>
        <w:tc>
          <w:tcPr>
            <w:tcW w:w="4786" w:type="dxa"/>
            <w:gridSpan w:val="6"/>
            <w:tcBorders>
              <w:left w:val="single" w:color="auto" w:sz="4" w:space="0"/>
              <w:right w:val="single" w:color="auto" w:sz="4" w:space="0"/>
            </w:tcBorders>
            <w:noWrap/>
            <w:vAlign w:val="center"/>
          </w:tcPr>
          <w:p>
            <w:pPr>
              <w:spacing w:line="576" w:lineRule="exact"/>
              <w:rPr>
                <w:rFonts w:ascii="仿宋_GB2312" w:hAnsi="仿宋_GB2312" w:cs="仿宋_GB2312"/>
                <w:kern w:val="0"/>
                <w:sz w:val="24"/>
                <w:szCs w:val="24"/>
              </w:rPr>
            </w:pPr>
            <w:r>
              <w:rPr>
                <w:rFonts w:hint="eastAsia" w:ascii="仿宋_GB2312" w:hAnsi="仿宋_GB2312" w:cs="仿宋_GB2312"/>
                <w:kern w:val="0"/>
                <w:sz w:val="24"/>
                <w:szCs w:val="24"/>
              </w:rPr>
              <w:t>普通话等级：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54" w:type="dxa"/>
            <w:tcBorders>
              <w:left w:val="single" w:color="auto" w:sz="4" w:space="0"/>
              <w:right w:val="single" w:color="auto" w:sz="4" w:space="0"/>
            </w:tcBorders>
            <w:noWrap/>
            <w:vAlign w:val="center"/>
          </w:tcPr>
          <w:p>
            <w:pPr>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联系电话</w:t>
            </w:r>
          </w:p>
        </w:tc>
        <w:tc>
          <w:tcPr>
            <w:tcW w:w="2285" w:type="dxa"/>
            <w:gridSpan w:val="4"/>
            <w:tcBorders>
              <w:left w:val="single" w:color="auto" w:sz="4" w:space="0"/>
              <w:right w:val="single" w:color="auto" w:sz="4" w:space="0"/>
            </w:tcBorders>
            <w:noWrap/>
            <w:vAlign w:val="center"/>
          </w:tcPr>
          <w:p>
            <w:pPr>
              <w:spacing w:line="576" w:lineRule="exact"/>
              <w:jc w:val="center"/>
              <w:rPr>
                <w:rFonts w:ascii="仿宋_GB2312" w:hAnsi="仿宋_GB2312" w:cs="仿宋_GB2312"/>
                <w:kern w:val="0"/>
                <w:sz w:val="24"/>
                <w:szCs w:val="24"/>
              </w:rPr>
            </w:pPr>
          </w:p>
        </w:tc>
        <w:tc>
          <w:tcPr>
            <w:tcW w:w="1179" w:type="dxa"/>
            <w:gridSpan w:val="2"/>
            <w:vMerge w:val="continue"/>
            <w:tcBorders>
              <w:left w:val="single" w:color="auto" w:sz="4" w:space="0"/>
              <w:right w:val="single" w:color="auto" w:sz="4" w:space="0"/>
            </w:tcBorders>
            <w:noWrap/>
            <w:vAlign w:val="center"/>
          </w:tcPr>
          <w:p>
            <w:pPr>
              <w:spacing w:line="576" w:lineRule="exact"/>
              <w:jc w:val="center"/>
              <w:rPr>
                <w:rFonts w:ascii="仿宋_GB2312" w:hAnsi="仿宋_GB2312" w:cs="仿宋_GB2312"/>
                <w:kern w:val="0"/>
                <w:sz w:val="24"/>
                <w:szCs w:val="24"/>
              </w:rPr>
            </w:pPr>
          </w:p>
        </w:tc>
        <w:tc>
          <w:tcPr>
            <w:tcW w:w="4786" w:type="dxa"/>
            <w:gridSpan w:val="6"/>
            <w:tcBorders>
              <w:left w:val="single" w:color="auto" w:sz="4" w:space="0"/>
              <w:right w:val="single" w:color="auto" w:sz="4" w:space="0"/>
            </w:tcBorders>
            <w:noWrap/>
            <w:vAlign w:val="center"/>
          </w:tcPr>
          <w:p>
            <w:pPr>
              <w:spacing w:line="576" w:lineRule="exact"/>
              <w:rPr>
                <w:rFonts w:ascii="仿宋_GB2312" w:hAnsi="仿宋_GB2312" w:cs="仿宋_GB2312"/>
                <w:kern w:val="0"/>
                <w:sz w:val="24"/>
                <w:szCs w:val="24"/>
              </w:rPr>
            </w:pPr>
            <w:r>
              <w:rPr>
                <w:rFonts w:hint="eastAsia" w:ascii="仿宋_GB2312" w:hAnsi="仿宋_GB2312" w:cs="仿宋_GB2312"/>
                <w:kern w:val="0"/>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54" w:type="dxa"/>
            <w:tcBorders>
              <w:left w:val="single" w:color="auto" w:sz="4" w:space="0"/>
              <w:right w:val="single" w:color="auto" w:sz="4" w:space="0"/>
            </w:tcBorders>
            <w:noWrap/>
            <w:vAlign w:val="center"/>
          </w:tcPr>
          <w:p>
            <w:pPr>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备用电话</w:t>
            </w:r>
          </w:p>
        </w:tc>
        <w:tc>
          <w:tcPr>
            <w:tcW w:w="2277" w:type="dxa"/>
            <w:gridSpan w:val="3"/>
            <w:tcBorders>
              <w:left w:val="single" w:color="auto" w:sz="4" w:space="0"/>
              <w:right w:val="single" w:color="auto" w:sz="4" w:space="0"/>
            </w:tcBorders>
            <w:noWrap/>
            <w:vAlign w:val="center"/>
          </w:tcPr>
          <w:p>
            <w:pPr>
              <w:spacing w:line="576" w:lineRule="exact"/>
              <w:rPr>
                <w:rFonts w:ascii="仿宋_GB2312" w:hAnsi="仿宋_GB2312" w:cs="仿宋_GB2312"/>
                <w:kern w:val="0"/>
                <w:sz w:val="24"/>
                <w:szCs w:val="24"/>
              </w:rPr>
            </w:pPr>
          </w:p>
        </w:tc>
        <w:tc>
          <w:tcPr>
            <w:tcW w:w="1187" w:type="dxa"/>
            <w:gridSpan w:val="3"/>
            <w:tcBorders>
              <w:left w:val="single" w:color="auto" w:sz="4" w:space="0"/>
              <w:right w:val="single" w:color="auto" w:sz="4" w:space="0"/>
            </w:tcBorders>
            <w:noWrap/>
            <w:vAlign w:val="center"/>
          </w:tcPr>
          <w:p>
            <w:pPr>
              <w:spacing w:line="576" w:lineRule="exact"/>
              <w:rPr>
                <w:rFonts w:ascii="仿宋_GB2312" w:hAnsi="仿宋_GB2312" w:cs="仿宋_GB2312"/>
                <w:kern w:val="0"/>
                <w:sz w:val="24"/>
                <w:szCs w:val="24"/>
              </w:rPr>
            </w:pPr>
            <w:r>
              <w:rPr>
                <w:rFonts w:hint="eastAsia" w:ascii="仿宋_GB2312" w:hAnsi="仿宋_GB2312" w:cs="仿宋_GB2312"/>
                <w:kern w:val="0"/>
                <w:sz w:val="24"/>
                <w:szCs w:val="24"/>
              </w:rPr>
              <w:t>身份证号</w:t>
            </w:r>
          </w:p>
        </w:tc>
        <w:tc>
          <w:tcPr>
            <w:tcW w:w="4786" w:type="dxa"/>
            <w:gridSpan w:val="6"/>
            <w:tcBorders>
              <w:left w:val="nil"/>
              <w:right w:val="single" w:color="auto" w:sz="4" w:space="0"/>
            </w:tcBorders>
            <w:noWrap/>
            <w:vAlign w:val="center"/>
          </w:tcPr>
          <w:p>
            <w:pPr>
              <w:spacing w:line="576" w:lineRule="exact"/>
              <w:rPr>
                <w:rFonts w:ascii="仿宋_GB2312" w:hAnsi="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3" w:hRule="atLeast"/>
          <w:jc w:val="center"/>
        </w:trPr>
        <w:tc>
          <w:tcPr>
            <w:tcW w:w="1354" w:type="dxa"/>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个人简历（包括见习简历，从高中开始填写）</w:t>
            </w:r>
          </w:p>
        </w:tc>
        <w:tc>
          <w:tcPr>
            <w:tcW w:w="3464" w:type="dxa"/>
            <w:gridSpan w:val="6"/>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c>
          <w:tcPr>
            <w:tcW w:w="709" w:type="dxa"/>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奖惩情况</w:t>
            </w:r>
          </w:p>
        </w:tc>
        <w:tc>
          <w:tcPr>
            <w:tcW w:w="4077" w:type="dxa"/>
            <w:gridSpan w:val="5"/>
            <w:tcBorders>
              <w:top w:val="single" w:color="auto" w:sz="4" w:space="0"/>
              <w:left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354" w:type="dxa"/>
            <w:tcBorders>
              <w:top w:val="single" w:color="auto" w:sz="4" w:space="0"/>
              <w:left w:val="single" w:color="auto" w:sz="4" w:space="0"/>
              <w:bottom w:val="single" w:color="auto" w:sz="4" w:space="0"/>
              <w:right w:val="single" w:color="auto" w:sz="4" w:space="0"/>
            </w:tcBorders>
            <w:noWrap/>
            <w:vAlign w:val="center"/>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审核意见</w:t>
            </w:r>
          </w:p>
        </w:tc>
        <w:tc>
          <w:tcPr>
            <w:tcW w:w="8250" w:type="dxa"/>
            <w:gridSpan w:val="12"/>
            <w:tcBorders>
              <w:top w:val="single" w:color="auto" w:sz="4" w:space="0"/>
              <w:left w:val="single" w:color="auto" w:sz="4" w:space="0"/>
              <w:bottom w:val="single" w:color="auto" w:sz="4" w:space="0"/>
              <w:right w:val="single" w:color="auto" w:sz="4" w:space="0"/>
            </w:tcBorders>
            <w:noWrap/>
            <w:vAlign w:val="bottom"/>
          </w:tcPr>
          <w:p>
            <w:pPr>
              <w:widowControl/>
              <w:spacing w:line="576" w:lineRule="exact"/>
              <w:jc w:val="center"/>
              <w:rPr>
                <w:rFonts w:ascii="仿宋_GB2312" w:hAnsi="仿宋_GB2312" w:cs="仿宋_GB2312"/>
                <w:kern w:val="0"/>
                <w:sz w:val="24"/>
                <w:szCs w:val="24"/>
              </w:rPr>
            </w:pPr>
            <w:r>
              <w:rPr>
                <w:rFonts w:hint="eastAsia" w:ascii="仿宋_GB2312" w:hAnsi="仿宋_GB2312" w:cs="仿宋_GB2312"/>
                <w:kern w:val="0"/>
                <w:sz w:val="24"/>
                <w:szCs w:val="24"/>
              </w:rPr>
              <w:t>签 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9604" w:type="dxa"/>
            <w:gridSpan w:val="13"/>
            <w:tcBorders>
              <w:top w:val="nil"/>
              <w:left w:val="single" w:color="auto" w:sz="4" w:space="0"/>
              <w:bottom w:val="single" w:color="auto" w:sz="4" w:space="0"/>
              <w:right w:val="single" w:color="auto" w:sz="4" w:space="0"/>
            </w:tcBorders>
            <w:noWrap/>
            <w:vAlign w:val="center"/>
          </w:tcPr>
          <w:p>
            <w:pPr>
              <w:spacing w:line="456" w:lineRule="exact"/>
              <w:ind w:firstLine="482"/>
              <w:jc w:val="left"/>
              <w:rPr>
                <w:rFonts w:ascii="仿宋_GB2312" w:hAnsi="仿宋_GB2312" w:cs="仿宋_GB2312"/>
                <w:sz w:val="24"/>
                <w:szCs w:val="24"/>
              </w:rPr>
            </w:pPr>
            <w:r>
              <w:rPr>
                <w:rFonts w:hint="eastAsia" w:ascii="仿宋_GB2312" w:hAnsi="仿宋_GB2312" w:cs="仿宋_GB2312"/>
                <w:sz w:val="24"/>
                <w:szCs w:val="24"/>
              </w:rPr>
              <w:t>诚信承诺：本人承诺已经填写的报考信息准确、真实，如果填报的信息存在不真实、不准确的情况，本人愿意承担相应的责任。</w:t>
            </w:r>
          </w:p>
          <w:p>
            <w:pPr>
              <w:spacing w:line="356" w:lineRule="exact"/>
              <w:ind w:firstLine="480"/>
              <w:rPr>
                <w:rFonts w:ascii="仿宋_GB2312" w:hAnsi="仿宋_GB2312" w:cs="仿宋_GB2312"/>
                <w:sz w:val="24"/>
                <w:szCs w:val="24"/>
              </w:rPr>
            </w:pPr>
            <w:r>
              <w:rPr>
                <w:rFonts w:hint="eastAsia" w:ascii="仿宋_GB2312" w:hAnsi="仿宋_GB2312" w:cs="仿宋_GB2312"/>
                <w:sz w:val="24"/>
                <w:szCs w:val="24"/>
              </w:rPr>
              <w:t xml:space="preserve">                                    本人签名：        </w:t>
            </w:r>
          </w:p>
          <w:p>
            <w:pPr>
              <w:spacing w:line="356" w:lineRule="exact"/>
              <w:ind w:firstLine="6240" w:firstLineChars="2600"/>
              <w:rPr>
                <w:rFonts w:ascii="仿宋_GB2312" w:hAnsi="仿宋_GB2312" w:cs="仿宋_GB2312"/>
                <w:sz w:val="24"/>
                <w:szCs w:val="24"/>
              </w:rPr>
            </w:pPr>
            <w:r>
              <w:rPr>
                <w:rFonts w:hint="eastAsia" w:ascii="仿宋_GB2312" w:hAnsi="仿宋_GB2312" w:cs="仿宋_GB2312"/>
                <w:sz w:val="24"/>
                <w:szCs w:val="24"/>
              </w:rPr>
              <w:t xml:space="preserve">    年     月     日</w:t>
            </w:r>
          </w:p>
        </w:tc>
      </w:tr>
    </w:tbl>
    <w:p/>
    <w:p>
      <w:pPr>
        <w:rPr>
          <w:rFonts w:hint="default"/>
          <w:lang w:val="en-US" w:eastAsia="zh-CN"/>
        </w:rPr>
      </w:pPr>
    </w:p>
    <w:sectPr>
      <w:pgSz w:w="11906" w:h="16838"/>
      <w:pgMar w:top="1701" w:right="1531" w:bottom="130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101"/>
    <w:rsid w:val="000A67DD"/>
    <w:rsid w:val="000C1337"/>
    <w:rsid w:val="00217BCA"/>
    <w:rsid w:val="0052383F"/>
    <w:rsid w:val="0064729F"/>
    <w:rsid w:val="006720B1"/>
    <w:rsid w:val="006B7FD3"/>
    <w:rsid w:val="00716E6F"/>
    <w:rsid w:val="00837E02"/>
    <w:rsid w:val="00885182"/>
    <w:rsid w:val="00907B6C"/>
    <w:rsid w:val="00AC0DAF"/>
    <w:rsid w:val="00B14CE3"/>
    <w:rsid w:val="00BA715A"/>
    <w:rsid w:val="00CE3101"/>
    <w:rsid w:val="00D9192E"/>
    <w:rsid w:val="00E00AD6"/>
    <w:rsid w:val="00E926AF"/>
    <w:rsid w:val="00E97E78"/>
    <w:rsid w:val="03502E48"/>
    <w:rsid w:val="0E9327BE"/>
    <w:rsid w:val="0F6D481A"/>
    <w:rsid w:val="11097ACF"/>
    <w:rsid w:val="132E7221"/>
    <w:rsid w:val="13510E0B"/>
    <w:rsid w:val="147D0050"/>
    <w:rsid w:val="1821189A"/>
    <w:rsid w:val="1B94288B"/>
    <w:rsid w:val="1DFD048F"/>
    <w:rsid w:val="1F9840EE"/>
    <w:rsid w:val="20393CCF"/>
    <w:rsid w:val="2595485F"/>
    <w:rsid w:val="27D06A3C"/>
    <w:rsid w:val="35E71891"/>
    <w:rsid w:val="37221AEB"/>
    <w:rsid w:val="379D1E5B"/>
    <w:rsid w:val="39F12F38"/>
    <w:rsid w:val="3C0936C3"/>
    <w:rsid w:val="3E513792"/>
    <w:rsid w:val="3FFF48F8"/>
    <w:rsid w:val="40B64370"/>
    <w:rsid w:val="420E4B57"/>
    <w:rsid w:val="463D6D15"/>
    <w:rsid w:val="4A661557"/>
    <w:rsid w:val="4FE04646"/>
    <w:rsid w:val="504A2FF0"/>
    <w:rsid w:val="518E480A"/>
    <w:rsid w:val="51E904FE"/>
    <w:rsid w:val="54F7687F"/>
    <w:rsid w:val="5605525E"/>
    <w:rsid w:val="5A26448F"/>
    <w:rsid w:val="5C9015AB"/>
    <w:rsid w:val="5DCA24E9"/>
    <w:rsid w:val="5FE93B00"/>
    <w:rsid w:val="602D5D2A"/>
    <w:rsid w:val="615607F9"/>
    <w:rsid w:val="681136DC"/>
    <w:rsid w:val="6ADA1156"/>
    <w:rsid w:val="6DF21DE4"/>
    <w:rsid w:val="6EF15DA9"/>
    <w:rsid w:val="71F43D0E"/>
    <w:rsid w:val="786640C3"/>
    <w:rsid w:val="79C646A3"/>
    <w:rsid w:val="7BA843AA"/>
    <w:rsid w:val="7BC16B12"/>
    <w:rsid w:val="7C441B77"/>
    <w:rsid w:val="7DEF285B"/>
    <w:rsid w:val="7EBE3D9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3A044D-270F-4ECA-8724-8D03C754103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541</Words>
  <Characters>3085</Characters>
  <Lines>25</Lines>
  <Paragraphs>7</Paragraphs>
  <TotalTime>78</TotalTime>
  <ScaleCrop>false</ScaleCrop>
  <LinksUpToDate>false</LinksUpToDate>
  <CharactersWithSpaces>3619</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2020-07-04T06:49:00Z</dcterms:created>
  <dc:creator>ɴɪʜɪʟɪsᴍ</dc:creator>
  <cp:lastModifiedBy>瓷</cp:lastModifiedBy>
  <cp:lastPrinted>2021-03-08T08:52:00Z</cp:lastPrinted>
  <dcterms:modified xsi:type="dcterms:W3CDTF">2021-03-09T03:21:33Z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