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44"/>
          <w:sz w:val="44"/>
        </w:rPr>
      </w:pPr>
      <w:r>
        <w:rPr>
          <w:rFonts w:ascii="方正小标宋简体" w:hAnsi="方正小标宋简体" w:eastAsia="方正小标宋简体" w:cs="方正小标宋简体"/>
          <w:bCs/>
          <w:kern w:val="44"/>
          <w:sz w:val="44"/>
        </w:rPr>
        <w:t>国家能源集团四川发电有限公司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44"/>
          <w:sz w:val="44"/>
        </w:rPr>
      </w:pPr>
      <w:r>
        <w:rPr>
          <w:rFonts w:ascii="方正小标宋简体" w:hAnsi="方正小标宋简体" w:eastAsia="方正小标宋简体" w:cs="方正小标宋简体"/>
          <w:bCs/>
          <w:kern w:val="44"/>
          <w:sz w:val="44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lang w:val="en-US" w:eastAsia="zh-CN"/>
        </w:rPr>
        <w:t>国能</w:t>
      </w:r>
      <w:r>
        <w:rPr>
          <w:rFonts w:ascii="方正小标宋简体" w:hAnsi="方正小标宋简体" w:eastAsia="方正小标宋简体" w:cs="方正小标宋简体"/>
          <w:bCs/>
          <w:kern w:val="44"/>
          <w:sz w:val="44"/>
        </w:rPr>
        <w:t>四川能源有限公司）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</w:rPr>
        <w:t>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kern w:val="44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lang w:val="en-US" w:eastAsia="zh-CN"/>
        </w:rPr>
        <w:t>西南石油大学专场）</w:t>
      </w:r>
    </w:p>
    <w:p>
      <w:pPr>
        <w:spacing w:line="560" w:lineRule="exact"/>
        <w:ind w:firstLine="200" w:firstLineChars="200"/>
        <w:rPr>
          <w:rFonts w:ascii="黑体" w:hAnsi="黑体" w:eastAsia="黑体" w:cs="黑体"/>
          <w:sz w:val="10"/>
          <w:szCs w:val="10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一、公司简介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国家能源集团四川发电有限公司（国能四川能源有限公司）（以下简称四川公司）2020年9月由原“国电四川发电有限公司”和原“神华四川能源有限公司”管理整合而成，实行“一套人马、两块牌子”管理模式，并作为国家能源集团在四川区域的唯一省（区）公司，负责管理区域内所属水电企业、对区域内国家能源集团所有火电企业（不含四川白马循环流化床示范电站有限责任公司）和售电公司履行全面管理职责，同时负责建立区域内集团公司各产业高效协同机制，对区域内集团公司所有企业履行统筹协调职责，包括地企协调、规划发展、新能源开发等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截至目前，四川公司本部设有11个部门、2个中心，下辖22个直属、全资及控股单位，资产总额243.47亿元，在运装机467.12万千瓦（火电366万千瓦、水电101.12万千瓦），在建装机239.2万千瓦（火电200万千瓦、水电39.2万千瓦），前期项目装机约289.6万千瓦（水电205万千瓦、燃机74.6万千瓦、光热10万千瓦）。其中，天明项目作为川内首个百万千瓦等级、超超临界、超低排放火电标志性工程，在建2台百万千瓦火电机组，其中1号机已于2021年8月投产，2号机组将于10月投产发电，届时四川公司在运火电装机达566万千瓦，占全川燃煤火电总装机的45%，将成为在川火电装机规模最大的企业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二、资格条件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（一）全国普通高等院校统招统分应届毕业生；回国（境）后初次就业且具有教育部留学服务中心派遣资格的国（境）外留学生。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（二）本科及以上学历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 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取得相应的毕业证和学位证。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）遵纪守法、品行端正、综合素质好，身体健康，能满足岗位工作要求。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三、招聘岗位</w:t>
      </w:r>
    </w:p>
    <w:tbl>
      <w:tblPr>
        <w:tblStyle w:val="11"/>
        <w:tblW w:w="9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1"/>
        <w:gridCol w:w="1700"/>
        <w:gridCol w:w="4618"/>
        <w:gridCol w:w="624"/>
        <w:gridCol w:w="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国能四川天明发电有限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集控运行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080501能源与动力工程,083702热能工程,080601电气工程及其自动化,080801自动化,083802电力系统及其自动化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设备点检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080501能源与动力工程,083702热能工程,080601电气工程及其自动化,080801自动化,083802电力系统及其自动化,083201机械制造及其自动化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设备点检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080501能源与动力工程,083702热能工程,080601电气工程及其自动化,080801自动化,083802电力系统及其自动化,083202机械制造及其自动化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国能四川能源有限公司江油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发电厂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热控检修专责工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080801自动化,080701电子信息工程,080805机电一体化技术,080808智能控制技术,080810工业自动化仪表,080814自动化类其他专业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国能四川华蓥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山发电有限公司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集控运行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083802电力系统及其自动化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化学运行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160205电厂化学与环保技术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国能达州发电有限公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集控运行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080601电气工程及其自动化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集控运行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080501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国能四川电力股份有限公司南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桠河发电厂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运维工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083702热能工程,080501能源与动力工程,083703动力机械及工程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运维工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081101水利水电工程,081105水利科学与工程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国能四川阿水电力开发有限公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司（国电四川色曲电力开发有限公司）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新能源开发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160309新能源发电工程类其他专业,160304光伏发电技术与应用,160307太阳能光热技术与应用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新能源建设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080503新能源科学与工程,080601电气工程及其自动化,080607电气类其他专业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法务岗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030101法学,030114法学类其他专业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现场工程管理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080503新能源科学与工程,080601电气工程及其自动化,080607电气类其他专业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现场工程管理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081101水利水电工程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电气二次专责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080601电气工程及其自动化,080604电气工程与智能控制,080602智能电网信息工程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国电丹巴东谷河水电开发有限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机电运行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080607电气类其他专业,080601电气工程及其自动化,080806电气自动化技术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</w:tbl>
    <w:p>
      <w:pPr>
        <w:tabs>
          <w:tab w:val="left" w:pos="1869"/>
        </w:tabs>
        <w:bidi w:val="0"/>
        <w:jc w:val="left"/>
        <w:rPr>
          <w:lang w:val="en-US" w:eastAsia="zh-CN"/>
        </w:rPr>
      </w:pPr>
    </w:p>
    <w:sectPr>
      <w:pgSz w:w="11906" w:h="16838"/>
      <w:pgMar w:top="178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D83018"/>
    <w:multiLevelType w:val="singleLevel"/>
    <w:tmpl w:val="FAD83018"/>
    <w:lvl w:ilvl="0" w:tentative="0">
      <w:start w:val="1"/>
      <w:numFmt w:val="decimal"/>
      <w:pStyle w:val="6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C2C3F"/>
    <w:rsid w:val="003558DB"/>
    <w:rsid w:val="007E5A4B"/>
    <w:rsid w:val="00BC4754"/>
    <w:rsid w:val="00E1175C"/>
    <w:rsid w:val="036D7CA2"/>
    <w:rsid w:val="064271CB"/>
    <w:rsid w:val="09501243"/>
    <w:rsid w:val="0A2547E7"/>
    <w:rsid w:val="0BED57B7"/>
    <w:rsid w:val="100355D9"/>
    <w:rsid w:val="101A16AC"/>
    <w:rsid w:val="10B71E8E"/>
    <w:rsid w:val="118C7B04"/>
    <w:rsid w:val="12FF0002"/>
    <w:rsid w:val="195770B6"/>
    <w:rsid w:val="1BA971D6"/>
    <w:rsid w:val="1E647E02"/>
    <w:rsid w:val="20B36ACC"/>
    <w:rsid w:val="23CD1FFD"/>
    <w:rsid w:val="27B55FE2"/>
    <w:rsid w:val="30087BFA"/>
    <w:rsid w:val="36EE0DE1"/>
    <w:rsid w:val="378E4E63"/>
    <w:rsid w:val="39C3355D"/>
    <w:rsid w:val="3D067441"/>
    <w:rsid w:val="44193D86"/>
    <w:rsid w:val="4D5025B7"/>
    <w:rsid w:val="58200751"/>
    <w:rsid w:val="583763CB"/>
    <w:rsid w:val="5F02221D"/>
    <w:rsid w:val="5F642926"/>
    <w:rsid w:val="64243336"/>
    <w:rsid w:val="683B27B3"/>
    <w:rsid w:val="68404A9D"/>
    <w:rsid w:val="69984FD1"/>
    <w:rsid w:val="6B0B423D"/>
    <w:rsid w:val="6C6B41B5"/>
    <w:rsid w:val="6CFC7FC4"/>
    <w:rsid w:val="6FB46F17"/>
    <w:rsid w:val="73950156"/>
    <w:rsid w:val="73FC2C3F"/>
    <w:rsid w:val="75076865"/>
    <w:rsid w:val="7775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next w:val="6"/>
    <w:qFormat/>
    <w:uiPriority w:val="0"/>
    <w:rPr>
      <w:rFonts w:ascii="宋体"/>
      <w:szCs w:val="21"/>
    </w:rPr>
  </w:style>
  <w:style w:type="paragraph" w:styleId="6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4"/>
    <w:next w:val="5"/>
    <w:qFormat/>
    <w:uiPriority w:val="0"/>
    <w:pPr>
      <w:spacing w:line="300" w:lineRule="exact"/>
      <w:ind w:left="200" w:firstLine="200" w:firstLineChars="200"/>
    </w:pPr>
    <w:rPr>
      <w:rFonts w:ascii="Calibri" w:hAnsi="Calibri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111111</Company>
  <Pages>3</Pages>
  <Words>145</Words>
  <Characters>830</Characters>
  <Lines>6</Lines>
  <Paragraphs>1</Paragraphs>
  <TotalTime>7</TotalTime>
  <ScaleCrop>false</ScaleCrop>
  <LinksUpToDate>false</LinksUpToDate>
  <CharactersWithSpaces>974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2020-11-19T03:54:00Z</dcterms:created>
  <dc:creator>方晓蓉</dc:creator>
  <cp:lastModifiedBy>焦红英</cp:lastModifiedBy>
  <cp:lastPrinted>2020-11-23T02:26:00Z</cp:lastPrinted>
  <dcterms:modified xsi:type="dcterms:W3CDTF">2021-09-17T06:40:50Z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